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AF379E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 xml:space="preserve">73-05756-4 </w:t>
            </w:r>
            <w:r w:rsidR="00AF379E" w:rsidRPr="00E30A8B">
              <w:rPr>
                <w:bCs/>
                <w:sz w:val="23"/>
                <w:szCs w:val="23"/>
              </w:rPr>
              <w:lastRenderedPageBreak/>
              <w:t>шт.</w:t>
            </w:r>
          </w:p>
          <w:p w:rsidR="00AF379E" w:rsidRPr="00AF379E" w:rsidRDefault="00AF379E" w:rsidP="00AF379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согл.проекта,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Проектирование перевода приточной вентиляции в корп.№21 на работу от первого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Проектирование системы питания приточной вентиляции от первого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установки для сушки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Мобильная установка для сушки 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Проезд автотранспортом туда 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Таштагольский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нового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lastRenderedPageBreak/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Вытяжная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Гарантийный срок эксплуатации 1 год. Поставка до Заказчика за счет Поставщика. Комплектовать подставкой для паяльника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6210F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6210F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CA11A1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6210F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CA11A1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6210F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</w:t>
            </w:r>
            <w:r w:rsidRPr="00553DE0">
              <w:rPr>
                <w:sz w:val="23"/>
                <w:szCs w:val="23"/>
              </w:rPr>
              <w:lastRenderedPageBreak/>
              <w:t>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6210F5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E30A8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6210F5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E30A8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162B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E30A8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6210F5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насадка с боем вперед.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Камера </w:t>
            </w:r>
            <w:r>
              <w:rPr>
                <w:sz w:val="23"/>
                <w:szCs w:val="23"/>
              </w:rPr>
              <w:lastRenderedPageBreak/>
              <w:t>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E30A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E30A8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E30A8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E30A8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В по </w:t>
            </w:r>
            <w:r>
              <w:rPr>
                <w:sz w:val="23"/>
                <w:szCs w:val="23"/>
              </w:rPr>
              <w:lastRenderedPageBreak/>
              <w:t>ГОСТ 8-82 Межцентровое расстояние-500 мм. Обрабатываемые диаметры мм. Над станиной-240.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E30A8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об/мин.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E30A8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E30A8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E30A8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r w:rsidRPr="00553DE0">
              <w:rPr>
                <w:bCs/>
                <w:sz w:val="23"/>
                <w:szCs w:val="23"/>
              </w:rPr>
              <w:lastRenderedPageBreak/>
              <w:t>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</w:t>
            </w:r>
            <w:r w:rsidRPr="00D43F90">
              <w:rPr>
                <w:bCs/>
                <w:sz w:val="23"/>
                <w:szCs w:val="23"/>
                <w:lang w:val="en-US"/>
              </w:rPr>
              <w:lastRenderedPageBreak/>
              <w:t xml:space="preserve">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E30A8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J9285B-1 шт.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кком</w:t>
            </w:r>
            <w:r w:rsidRPr="00553DE0">
              <w:rPr>
                <w:sz w:val="23"/>
                <w:szCs w:val="23"/>
              </w:rPr>
              <w:lastRenderedPageBreak/>
              <w:t>пл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301 000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4F6B" w:rsidRDefault="00EB4F6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0A19CC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B17609">
        <w:rPr>
          <w:rFonts w:ascii="Times New Roman" w:hAnsi="Times New Roman" w:cs="Times New Roman"/>
          <w:sz w:val="32"/>
          <w:szCs w:val="32"/>
        </w:rPr>
        <w:t>30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4E7F9F">
        <w:rPr>
          <w:rFonts w:ascii="Times New Roman" w:hAnsi="Times New Roman" w:cs="Times New Roman"/>
          <w:sz w:val="32"/>
          <w:szCs w:val="32"/>
        </w:rPr>
        <w:t>августа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8C" w:rsidRDefault="0037678C" w:rsidP="00B805BE">
      <w:r>
        <w:separator/>
      </w:r>
    </w:p>
  </w:endnote>
  <w:endnote w:type="continuationSeparator" w:id="0">
    <w:p w:rsidR="0037678C" w:rsidRDefault="0037678C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8C" w:rsidRDefault="0037678C" w:rsidP="00B805BE">
      <w:r>
        <w:separator/>
      </w:r>
    </w:p>
  </w:footnote>
  <w:footnote w:type="continuationSeparator" w:id="0">
    <w:p w:rsidR="0037678C" w:rsidRDefault="0037678C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A19CC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30F00"/>
    <w:rsid w:val="001320BF"/>
    <w:rsid w:val="00135DEA"/>
    <w:rsid w:val="00161732"/>
    <w:rsid w:val="00163989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4A2"/>
    <w:rsid w:val="002909EC"/>
    <w:rsid w:val="002918B2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2774"/>
    <w:rsid w:val="00456AD0"/>
    <w:rsid w:val="00463948"/>
    <w:rsid w:val="00464015"/>
    <w:rsid w:val="0046726E"/>
    <w:rsid w:val="0048374D"/>
    <w:rsid w:val="00490008"/>
    <w:rsid w:val="004A0611"/>
    <w:rsid w:val="004B0863"/>
    <w:rsid w:val="004B71B5"/>
    <w:rsid w:val="004C155A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6E68"/>
    <w:rsid w:val="006210F5"/>
    <w:rsid w:val="00634308"/>
    <w:rsid w:val="00635269"/>
    <w:rsid w:val="006359CD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2647"/>
    <w:rsid w:val="009F5800"/>
    <w:rsid w:val="00A01858"/>
    <w:rsid w:val="00A10873"/>
    <w:rsid w:val="00A162BD"/>
    <w:rsid w:val="00A33DA6"/>
    <w:rsid w:val="00A4391E"/>
    <w:rsid w:val="00A5295E"/>
    <w:rsid w:val="00A54C61"/>
    <w:rsid w:val="00A56A95"/>
    <w:rsid w:val="00A61178"/>
    <w:rsid w:val="00A80392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2232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11A1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4F43-BE3F-424D-BF64-F5C5B063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25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117</cp:revision>
  <cp:lastPrinted>2013-08-30T02:03:00Z</cp:lastPrinted>
  <dcterms:created xsi:type="dcterms:W3CDTF">2012-12-30T05:48:00Z</dcterms:created>
  <dcterms:modified xsi:type="dcterms:W3CDTF">2013-08-30T02:04:00Z</dcterms:modified>
</cp:coreProperties>
</file>