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358A7" w:rsidRPr="00553DE0">
              <w:rPr>
                <w:sz w:val="23"/>
                <w:szCs w:val="23"/>
              </w:rPr>
              <w:t>ентяб</w:t>
            </w:r>
            <w:r w:rsidR="00E13869" w:rsidRPr="00553DE0">
              <w:rPr>
                <w:sz w:val="23"/>
                <w:szCs w:val="23"/>
              </w:rPr>
              <w:t>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(Уточнение </w:t>
            </w:r>
            <w:r w:rsidRPr="00553DE0">
              <w:rPr>
                <w:bCs/>
                <w:sz w:val="23"/>
                <w:szCs w:val="23"/>
              </w:rPr>
              <w:lastRenderedPageBreak/>
              <w:t>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BladeSystem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c</w:t>
            </w:r>
            <w:r w:rsidRPr="00553DE0">
              <w:rPr>
                <w:bCs/>
                <w:sz w:val="23"/>
                <w:szCs w:val="23"/>
              </w:rPr>
              <w:t xml:space="preserve">3000 </w:t>
            </w:r>
            <w:r w:rsidRPr="00553DE0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ProLiant BL460c Gen8 Server Blade * 2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Windows Server 2012 Standart OPL * 4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553DE0">
              <w:rPr>
                <w:bCs/>
                <w:sz w:val="23"/>
                <w:szCs w:val="23"/>
              </w:rPr>
              <w:t xml:space="preserve"> 2012 </w:t>
            </w:r>
            <w:r w:rsidRPr="00553DE0">
              <w:rPr>
                <w:bCs/>
                <w:sz w:val="23"/>
                <w:szCs w:val="23"/>
                <w:lang w:val="en-US"/>
              </w:rPr>
              <w:t>CAL</w:t>
            </w:r>
            <w:r w:rsidRPr="00553DE0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Для обеспечения потребностей по выпуску печатной документации </w:t>
            </w:r>
            <w:r w:rsidRPr="00553DE0">
              <w:rPr>
                <w:bCs/>
                <w:sz w:val="23"/>
                <w:szCs w:val="23"/>
              </w:rPr>
              <w:lastRenderedPageBreak/>
              <w:t>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АСК-ЭМ, инв.21400,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специализир.контроллера,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согл.проекта, испытания,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Наличие в приемнике П-900 акустического метода;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Замена трубопровода ХВС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Прокладка пластикового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</w:t>
            </w:r>
            <w:r w:rsidRPr="00553DE0">
              <w:rPr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качественный и герметичный монтаж окон монтажной пеной фирмы «Makroflex»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Устройство наливного полимерного пола толщиной 1,5-2,0 мм в корпусе № 14 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В соответстии с требованиями СниП, ГОСТ. Опыт в 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F0504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EF0504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СниП, ГОСТ. Опыт в </w:t>
            </w:r>
            <w:r w:rsidRPr="00553DE0">
              <w:rPr>
                <w:sz w:val="23"/>
                <w:szCs w:val="23"/>
              </w:rPr>
              <w:lastRenderedPageBreak/>
              <w:t>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96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Работы по прокладке, монтажу сетей и подключению оборудования в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Прокладка, монтаж сетей и подключение оборудования </w:t>
            </w:r>
            <w:r w:rsidRPr="00553DE0">
              <w:rPr>
                <w:sz w:val="23"/>
                <w:szCs w:val="23"/>
              </w:rPr>
              <w:lastRenderedPageBreak/>
              <w:t>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CA11A1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106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EF0504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CA11A1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EF0504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EF0504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812E49" w:rsidRDefault="00EF0504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CA11A1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CA11A1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CA11A1" w:rsidRPr="00812E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В </w:t>
            </w:r>
            <w:r w:rsidRPr="00553DE0">
              <w:rPr>
                <w:sz w:val="23"/>
                <w:szCs w:val="23"/>
              </w:rPr>
              <w:lastRenderedPageBreak/>
              <w:t>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018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пог.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2013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</w:tr>
      <w:tr w:rsidR="00CA11A1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CA11A1" w:rsidRPr="00553DE0" w:rsidRDefault="00CA11A1" w:rsidP="00CA11A1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CA11A1" w:rsidRPr="00553DE0" w:rsidRDefault="00CA11A1" w:rsidP="00CA11A1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CA11A1" w:rsidRPr="00377033" w:rsidRDefault="00EF0504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CA11A1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CA11A1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CA11A1" w:rsidRPr="00377033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833AF5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Pr="00812E49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CA11A1" w:rsidRPr="00833AF5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1)Камера должна быть предназначена для работы в закрытых отапливаемых помещениях </w:t>
            </w:r>
            <w:r>
              <w:rPr>
                <w:sz w:val="23"/>
                <w:szCs w:val="23"/>
              </w:rPr>
              <w:lastRenderedPageBreak/>
              <w:t>без подключения к системам вентиляции.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Монтажная стойка; давление потребляемого сжатого воздуха -0,5-0,9 Мпа; расход сжатого воздуха -0,45 м3/мин;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CA11A1" w:rsidRPr="00E621D2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CA11A1" w:rsidRPr="00E621D2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4449D8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726352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CA11A1" w:rsidRPr="00726352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CA11A1" w:rsidRPr="00726352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99" w:type="dxa"/>
            <w:gridSpan w:val="2"/>
          </w:tcPr>
          <w:p w:rsidR="00CA11A1" w:rsidRPr="001D60F4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CA11A1" w:rsidRPr="001D60F4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999" w:type="dxa"/>
            <w:gridSpan w:val="2"/>
          </w:tcPr>
          <w:p w:rsidR="00CA11A1" w:rsidRPr="001D60F4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CA11A1" w:rsidRPr="001D60F4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наружной производственной канализации К3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Выполнить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CA11A1" w:rsidRPr="00F759CB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2070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CA11A1" w:rsidRPr="00207049" w:rsidRDefault="00CA11A1" w:rsidP="00CA11A1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2070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CA11A1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2070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F56AD" w:rsidRDefault="007F56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CA11A1" w:rsidRDefault="00CA11A1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0A19CC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2904A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1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4E7F9F">
        <w:rPr>
          <w:rFonts w:ascii="Times New Roman" w:hAnsi="Times New Roman" w:cs="Times New Roman"/>
          <w:sz w:val="32"/>
          <w:szCs w:val="32"/>
        </w:rPr>
        <w:t>августа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23" w:rsidRDefault="005C6923" w:rsidP="00B805BE">
      <w:r>
        <w:separator/>
      </w:r>
    </w:p>
  </w:endnote>
  <w:endnote w:type="continuationSeparator" w:id="0">
    <w:p w:rsidR="005C6923" w:rsidRDefault="005C6923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23" w:rsidRDefault="005C6923" w:rsidP="00B805BE">
      <w:r>
        <w:separator/>
      </w:r>
    </w:p>
  </w:footnote>
  <w:footnote w:type="continuationSeparator" w:id="0">
    <w:p w:rsidR="005C6923" w:rsidRDefault="005C6923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A19CC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30F00"/>
    <w:rsid w:val="001320BF"/>
    <w:rsid w:val="00135DEA"/>
    <w:rsid w:val="00161732"/>
    <w:rsid w:val="00163989"/>
    <w:rsid w:val="00190E05"/>
    <w:rsid w:val="0019705C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DA1"/>
    <w:rsid w:val="00277E62"/>
    <w:rsid w:val="00283C33"/>
    <w:rsid w:val="002904A2"/>
    <w:rsid w:val="002909EC"/>
    <w:rsid w:val="002918B2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15896"/>
    <w:rsid w:val="00320E71"/>
    <w:rsid w:val="003408A6"/>
    <w:rsid w:val="003477FE"/>
    <w:rsid w:val="00354B01"/>
    <w:rsid w:val="0036246B"/>
    <w:rsid w:val="0037288F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52774"/>
    <w:rsid w:val="00456AD0"/>
    <w:rsid w:val="00463948"/>
    <w:rsid w:val="00464015"/>
    <w:rsid w:val="0046726E"/>
    <w:rsid w:val="0048374D"/>
    <w:rsid w:val="00490008"/>
    <w:rsid w:val="004A0611"/>
    <w:rsid w:val="004B0863"/>
    <w:rsid w:val="004B71B5"/>
    <w:rsid w:val="004C155A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7EDD"/>
    <w:rsid w:val="00616E68"/>
    <w:rsid w:val="00634308"/>
    <w:rsid w:val="00635269"/>
    <w:rsid w:val="006359CD"/>
    <w:rsid w:val="0065456E"/>
    <w:rsid w:val="00655E55"/>
    <w:rsid w:val="00655F11"/>
    <w:rsid w:val="00656FD6"/>
    <w:rsid w:val="00657B70"/>
    <w:rsid w:val="006626DE"/>
    <w:rsid w:val="00675C90"/>
    <w:rsid w:val="0068417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2A46"/>
    <w:rsid w:val="00773150"/>
    <w:rsid w:val="00774BEB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5800"/>
    <w:rsid w:val="00A01858"/>
    <w:rsid w:val="00A10873"/>
    <w:rsid w:val="00A33DA6"/>
    <w:rsid w:val="00A4391E"/>
    <w:rsid w:val="00A5295E"/>
    <w:rsid w:val="00A54C61"/>
    <w:rsid w:val="00A56A95"/>
    <w:rsid w:val="00A61178"/>
    <w:rsid w:val="00A80392"/>
    <w:rsid w:val="00A96843"/>
    <w:rsid w:val="00A97FD2"/>
    <w:rsid w:val="00AB2C5E"/>
    <w:rsid w:val="00AC682D"/>
    <w:rsid w:val="00AD6FAE"/>
    <w:rsid w:val="00AE0E30"/>
    <w:rsid w:val="00AE3458"/>
    <w:rsid w:val="00AE3DBF"/>
    <w:rsid w:val="00B251A3"/>
    <w:rsid w:val="00B30DAC"/>
    <w:rsid w:val="00B310A8"/>
    <w:rsid w:val="00B35F5F"/>
    <w:rsid w:val="00B7724E"/>
    <w:rsid w:val="00B805BE"/>
    <w:rsid w:val="00B843D3"/>
    <w:rsid w:val="00B92232"/>
    <w:rsid w:val="00BB44A8"/>
    <w:rsid w:val="00BB5AB7"/>
    <w:rsid w:val="00BB5FF6"/>
    <w:rsid w:val="00BC135E"/>
    <w:rsid w:val="00BC3D47"/>
    <w:rsid w:val="00BC7887"/>
    <w:rsid w:val="00BE2FFC"/>
    <w:rsid w:val="00BE4C37"/>
    <w:rsid w:val="00BE4DB4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11A1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36D92"/>
    <w:rsid w:val="00D40069"/>
    <w:rsid w:val="00D43E62"/>
    <w:rsid w:val="00D44C48"/>
    <w:rsid w:val="00D52EAE"/>
    <w:rsid w:val="00D6058B"/>
    <w:rsid w:val="00D61EC2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5C96"/>
    <w:rsid w:val="00E13869"/>
    <w:rsid w:val="00E14534"/>
    <w:rsid w:val="00E27DC2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B2F0F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EC26-CCE0-4A0C-A6BF-F551CD5D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1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110</cp:revision>
  <cp:lastPrinted>2013-08-22T01:42:00Z</cp:lastPrinted>
  <dcterms:created xsi:type="dcterms:W3CDTF">2012-12-30T05:48:00Z</dcterms:created>
  <dcterms:modified xsi:type="dcterms:W3CDTF">2013-08-22T02:47:00Z</dcterms:modified>
</cp:coreProperties>
</file>