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AC42FC"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717ED4">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Pr>
                <w:rFonts w:ascii="Times New Roman" w:eastAsia="Times New Roman" w:hAnsi="Times New Roman" w:cs="Times New Roman"/>
                <w:bCs/>
                <w:sz w:val="18"/>
                <w:szCs w:val="18"/>
              </w:rPr>
              <w:lastRenderedPageBreak/>
              <w:t>строительстве</w:t>
            </w:r>
          </w:p>
          <w:p w:rsidR="00717ED4"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1E7F6B">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92144E">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275"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92144E">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w:t>
            </w:r>
            <w:r>
              <w:rPr>
                <w:rFonts w:ascii="Times New Roman" w:eastAsia="Times New Roman" w:hAnsi="Times New Roman" w:cs="Times New Roman"/>
                <w:bCs/>
                <w:sz w:val="18"/>
                <w:szCs w:val="18"/>
              </w:rPr>
              <w:lastRenderedPageBreak/>
              <w:t>листового 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183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3126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717ED4" w:rsidRPr="00AC42FC" w:rsidRDefault="00717ED4" w:rsidP="00717ED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11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AC42FC" w:rsidRDefault="00717ED4" w:rsidP="00F5267B">
            <w:pPr>
              <w:spacing w:after="0" w:line="240" w:lineRule="auto"/>
              <w:jc w:val="center"/>
              <w:rPr>
                <w:rFonts w:ascii="Times New Roman" w:hAnsi="Times New Roman" w:cs="Times New Roman"/>
                <w:sz w:val="18"/>
                <w:szCs w:val="18"/>
              </w:rPr>
            </w:pPr>
            <w:r w:rsidRPr="00AC42FC">
              <w:rPr>
                <w:rFonts w:ascii="Times New Roman" w:hAnsi="Times New Roman" w:cs="Times New Roman"/>
                <w:sz w:val="18"/>
                <w:szCs w:val="18"/>
              </w:rPr>
              <w:t xml:space="preserve">Благоустройство </w:t>
            </w:r>
          </w:p>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 xml:space="preserve">Поставка металлорежущего инструмента </w:t>
            </w:r>
            <w:r w:rsidRPr="00AC42FC">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w:t>
            </w:r>
            <w:bookmarkStart w:id="1" w:name="_GoBack"/>
            <w:bookmarkEnd w:id="1"/>
            <w:r w:rsidRPr="009F70EB">
              <w:rPr>
                <w:rFonts w:ascii="Times New Roman" w:hAnsi="Times New Roman" w:cs="Times New Roman"/>
                <w:sz w:val="18"/>
                <w:szCs w:val="18"/>
              </w:rPr>
              <w:t>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684796">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92144E">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92144E">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275"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 xml:space="preserve">Выполнение технико-экономического обоснования инвестиций в реконструкции </w:t>
            </w:r>
            <w:r>
              <w:rPr>
                <w:rFonts w:ascii="Times New Roman" w:hAnsi="Times New Roman" w:cs="Times New Roman"/>
                <w:sz w:val="18"/>
              </w:rPr>
              <w:lastRenderedPageBreak/>
              <w:t>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4C17F0">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240"/>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8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5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r w:rsidRPr="009F70EB">
              <w:rPr>
                <w:rFonts w:ascii="Times New Roman" w:hAnsi="Times New Roman" w:cs="Times New Roman"/>
                <w:sz w:val="18"/>
                <w:szCs w:val="18"/>
              </w:rPr>
              <w:lastRenderedPageBreak/>
              <w:t>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лицензии ПО АСКОН </w:t>
            </w:r>
            <w:r w:rsidRPr="009F70EB">
              <w:rPr>
                <w:rFonts w:ascii="Times New Roman" w:hAnsi="Times New Roman" w:cs="Times New Roman"/>
                <w:sz w:val="18"/>
                <w:szCs w:val="18"/>
              </w:rPr>
              <w:lastRenderedPageBreak/>
              <w:t>КОМПАС-3D</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51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2B668B" w:rsidRDefault="007E5CF8"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7E5CF8" w:rsidRPr="001E7F6B" w:rsidRDefault="007E5CF8" w:rsidP="009C764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7E5CF8" w:rsidRPr="00717ED4" w:rsidRDefault="007E5CF8"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11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7E5CF8" w:rsidRPr="001E7F6B" w:rsidRDefault="007E5CF8"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B609BD"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w:t>
            </w:r>
            <w:r w:rsidRPr="009F70EB">
              <w:rPr>
                <w:rFonts w:ascii="Times New Roman" w:hAnsi="Times New Roman" w:cs="Times New Roman"/>
                <w:sz w:val="18"/>
                <w:szCs w:val="18"/>
              </w:rPr>
              <w:lastRenderedPageBreak/>
              <w:t>техническим заданием.</w:t>
            </w:r>
          </w:p>
          <w:p w:rsidR="007E5CF8" w:rsidRPr="00717ED4" w:rsidRDefault="007E5CF8"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7E5CF8" w:rsidRPr="00ED6311" w:rsidRDefault="007E5CF8"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7E5CF8" w:rsidRPr="00340972" w:rsidRDefault="007E5CF8"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E5CF8" w:rsidRPr="009F70EB" w:rsidTr="00EB0C8E">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7E5CF8" w:rsidRPr="009F70EB"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7E5CF8" w:rsidRPr="009F70EB" w:rsidRDefault="007E5CF8"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7E5CF8" w:rsidRPr="00B609BD" w:rsidRDefault="007E5CF8"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7E5CF8" w:rsidRPr="00717ED4"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7E5CF8" w:rsidRPr="00647ADF" w:rsidRDefault="007E5CF8" w:rsidP="006C43B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94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7E5CF8" w:rsidRPr="006C43BE" w:rsidRDefault="007E5CF8"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21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7E5CF8" w:rsidRPr="00717ED4" w:rsidRDefault="007E5CF8"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86060D">
        <w:trPr>
          <w:trHeight w:val="983"/>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7E5CF8" w:rsidRPr="00D91D75" w:rsidRDefault="007E5CF8"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5D1AFD"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5CF8" w:rsidRPr="006C43BE"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2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43D1D"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7E5CF8" w:rsidRPr="00D91D75" w:rsidRDefault="007E5CF8"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Участие субъектов малого и среднего предпринимательства в закупке</w:t>
            </w:r>
          </w:p>
          <w:p w:rsidR="008E5216" w:rsidRPr="005E513A"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5E513A">
              <w:rPr>
                <w:rFonts w:ascii="Times New Roman" w:hAnsi="Times New Roman" w:cs="Times New Roman"/>
                <w:sz w:val="18"/>
                <w:szCs w:val="18"/>
              </w:rPr>
              <w:t>ологичной продукции) составляет</w:t>
            </w:r>
            <w:r w:rsidR="004B3ECC" w:rsidRPr="005E513A">
              <w:rPr>
                <w:rFonts w:ascii="Times New Roman" w:hAnsi="Times New Roman" w:cs="Times New Roman"/>
                <w:sz w:val="18"/>
                <w:szCs w:val="18"/>
              </w:rPr>
              <w:t xml:space="preserve"> </w:t>
            </w:r>
            <w:r w:rsidR="005E513A" w:rsidRPr="005E513A">
              <w:rPr>
                <w:rFonts w:ascii="Times New Roman" w:hAnsi="Times New Roman" w:cs="Times New Roman"/>
                <w:sz w:val="18"/>
                <w:szCs w:val="18"/>
              </w:rPr>
              <w:t>829961365.15</w:t>
            </w:r>
            <w:r w:rsidR="007B6FFD" w:rsidRPr="005E513A">
              <w:rPr>
                <w:rFonts w:ascii="Times New Roman" w:hAnsi="Times New Roman" w:cs="Times New Roman"/>
                <w:sz w:val="18"/>
                <w:szCs w:val="18"/>
              </w:rPr>
              <w:t xml:space="preserve"> </w:t>
            </w:r>
            <w:r w:rsidR="008E5216" w:rsidRPr="005E513A">
              <w:rPr>
                <w:rFonts w:ascii="Times New Roman" w:hAnsi="Times New Roman" w:cs="Times New Roman"/>
                <w:sz w:val="18"/>
                <w:szCs w:val="18"/>
              </w:rPr>
              <w:t>рублей</w:t>
            </w:r>
          </w:p>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5E513A">
              <w:rPr>
                <w:rFonts w:ascii="Times New Roman" w:hAnsi="Times New Roman" w:cs="Times New Roman"/>
                <w:sz w:val="18"/>
                <w:szCs w:val="18"/>
              </w:rPr>
              <w:t xml:space="preserve"> </w:t>
            </w:r>
            <w:r w:rsidR="005E513A" w:rsidRPr="005E513A">
              <w:rPr>
                <w:rFonts w:ascii="Times New Roman" w:hAnsi="Times New Roman" w:cs="Times New Roman"/>
                <w:sz w:val="18"/>
                <w:szCs w:val="18"/>
              </w:rPr>
              <w:t>108672450.88</w:t>
            </w:r>
            <w:r w:rsidR="00645F7A" w:rsidRPr="005E513A">
              <w:rPr>
                <w:rFonts w:ascii="Times New Roman" w:hAnsi="Times New Roman" w:cs="Times New Roman"/>
                <w:sz w:val="18"/>
                <w:szCs w:val="18"/>
              </w:rPr>
              <w:t xml:space="preserve"> </w:t>
            </w:r>
            <w:r w:rsidR="00BC6C44" w:rsidRPr="005E513A">
              <w:rPr>
                <w:rFonts w:ascii="Times New Roman" w:hAnsi="Times New Roman" w:cs="Times New Roman"/>
                <w:sz w:val="18"/>
                <w:szCs w:val="18"/>
              </w:rPr>
              <w:t>рублей</w:t>
            </w:r>
            <w:r w:rsidRPr="005E513A">
              <w:rPr>
                <w:rFonts w:ascii="Times New Roman" w:hAnsi="Times New Roman" w:cs="Times New Roman"/>
                <w:sz w:val="18"/>
                <w:szCs w:val="18"/>
              </w:rPr>
              <w:t>.</w:t>
            </w:r>
            <w:proofErr w:type="gramEnd"/>
          </w:p>
          <w:p w:rsidR="007B6FFD"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5E513A">
              <w:rPr>
                <w:rFonts w:ascii="Times New Roman" w:hAnsi="Times New Roman" w:cs="Times New Roman"/>
                <w:sz w:val="18"/>
                <w:szCs w:val="18"/>
              </w:rPr>
              <w:t xml:space="preserve"> </w:t>
            </w:r>
            <w:r w:rsidR="005E513A" w:rsidRPr="005E513A">
              <w:rPr>
                <w:rFonts w:ascii="Times New Roman" w:hAnsi="Times New Roman" w:cs="Times New Roman"/>
                <w:sz w:val="18"/>
                <w:szCs w:val="18"/>
              </w:rPr>
              <w:t xml:space="preserve">355559638.46 </w:t>
            </w:r>
            <w:r w:rsidR="007B6FFD" w:rsidRPr="005E513A">
              <w:rPr>
                <w:rFonts w:ascii="Times New Roman" w:eastAsia="Times New Roman" w:hAnsi="Times New Roman" w:cs="Times New Roman"/>
                <w:sz w:val="18"/>
                <w:szCs w:val="18"/>
                <w:lang w:eastAsia="ko-KR"/>
              </w:rPr>
              <w:t>рублей (</w:t>
            </w:r>
            <w:r w:rsidR="005E513A" w:rsidRPr="005E513A">
              <w:rPr>
                <w:rFonts w:ascii="Times New Roman" w:hAnsi="Times New Roman" w:cs="Times New Roman"/>
                <w:sz w:val="18"/>
                <w:szCs w:val="18"/>
              </w:rPr>
              <w:t>49.3</w:t>
            </w:r>
            <w:r w:rsidR="007B6FFD" w:rsidRPr="005E513A">
              <w:rPr>
                <w:rFonts w:ascii="Times New Roman" w:eastAsia="Times New Roman" w:hAnsi="Times New Roman" w:cs="Times New Roman"/>
                <w:sz w:val="18"/>
                <w:szCs w:val="18"/>
                <w:lang w:eastAsia="ko-KR"/>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37"/>
              <w:gridCol w:w="2656"/>
            </w:tblGrid>
            <w:tr w:rsidR="005E513A" w:rsidRPr="005E513A" w:rsidTr="007B6FFD">
              <w:trPr>
                <w:tblCellSpacing w:w="15" w:type="dxa"/>
              </w:trPr>
              <w:tc>
                <w:tcPr>
                  <w:tcW w:w="3500" w:type="pct"/>
                  <w:vAlign w:val="center"/>
                  <w:hideMark/>
                </w:tcPr>
                <w:p w:rsidR="007B6FFD" w:rsidRPr="005E513A" w:rsidRDefault="007B6FFD" w:rsidP="007B6FFD">
                  <w:pPr>
                    <w:spacing w:after="0" w:line="240" w:lineRule="atLeast"/>
                    <w:rPr>
                      <w:rFonts w:ascii="Times New Roman" w:eastAsia="Times New Roman" w:hAnsi="Times New Roman" w:cs="Times New Roman"/>
                      <w:sz w:val="18"/>
                      <w:szCs w:val="18"/>
                      <w:lang w:eastAsia="ko-KR"/>
                    </w:rPr>
                  </w:pPr>
                </w:p>
              </w:tc>
              <w:tc>
                <w:tcPr>
                  <w:tcW w:w="2611" w:type="dxa"/>
                  <w:vAlign w:val="center"/>
                  <w:hideMark/>
                </w:tcPr>
                <w:p w:rsidR="007B6FFD" w:rsidRPr="005E513A" w:rsidRDefault="007B6FFD" w:rsidP="007B6FFD">
                  <w:pPr>
                    <w:spacing w:after="0" w:line="240" w:lineRule="atLeast"/>
                    <w:rPr>
                      <w:rFonts w:ascii="Times New Roman" w:eastAsia="Times New Roman" w:hAnsi="Times New Roman" w:cs="Times New Roman"/>
                      <w:sz w:val="18"/>
                      <w:szCs w:val="18"/>
                      <w:lang w:eastAsia="ko-KR"/>
                    </w:rPr>
                  </w:pPr>
                </w:p>
              </w:tc>
            </w:tr>
          </w:tbl>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47ADF">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w:t>
            </w:r>
            <w:r w:rsidRPr="00ED6311">
              <w:rPr>
                <w:rFonts w:ascii="Times New Roman" w:hAnsi="Times New Roman" w:cs="Times New Roman"/>
                <w:sz w:val="18"/>
                <w:szCs w:val="18"/>
              </w:rPr>
              <w:lastRenderedPageBreak/>
              <w:t>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lastRenderedPageBreak/>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w:t>
            </w:r>
            <w:r w:rsidRPr="00ED6311">
              <w:rPr>
                <w:rFonts w:ascii="Times New Roman" w:hAnsi="Times New Roman" w:cs="Times New Roman"/>
                <w:sz w:val="18"/>
                <w:szCs w:val="18"/>
              </w:rPr>
              <w:lastRenderedPageBreak/>
              <w:t>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lastRenderedPageBreak/>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w:t>
            </w:r>
            <w:r w:rsidRPr="00ED6311">
              <w:rPr>
                <w:rFonts w:ascii="Times New Roman" w:hAnsi="Times New Roman" w:cs="Times New Roman"/>
                <w:sz w:val="18"/>
                <w:szCs w:val="18"/>
              </w:rPr>
              <w:lastRenderedPageBreak/>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xml:space="preserve">. Гарантия на работы 36 </w:t>
            </w:r>
            <w:r w:rsidRPr="00ED6311">
              <w:rPr>
                <w:rFonts w:ascii="Times New Roman" w:hAnsi="Times New Roman" w:cs="Times New Roman"/>
                <w:bCs/>
                <w:sz w:val="18"/>
                <w:szCs w:val="18"/>
              </w:rPr>
              <w:lastRenderedPageBreak/>
              <w:t>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47ADF">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w:t>
            </w:r>
            <w:r w:rsidR="00E77B28" w:rsidRPr="00ED7C80">
              <w:rPr>
                <w:rFonts w:ascii="Times New Roman" w:hAnsi="Times New Roman" w:cs="Times New Roman"/>
                <w:bCs/>
                <w:sz w:val="18"/>
                <w:szCs w:val="18"/>
              </w:rPr>
              <w:lastRenderedPageBreak/>
              <w:t>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ED7C80" w:rsidRDefault="00717ED4" w:rsidP="00717ED4">
            <w:pPr>
              <w:spacing w:after="0" w:line="240" w:lineRule="auto"/>
              <w:jc w:val="center"/>
              <w:rPr>
                <w:rFonts w:ascii="Times New Roman" w:eastAsiaTheme="minorHAnsi" w:hAnsi="Times New Roman" w:cs="Times New Roman"/>
                <w:sz w:val="18"/>
                <w:szCs w:val="18"/>
              </w:rPr>
            </w:pPr>
            <w:r w:rsidRPr="00ED7C80">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47ADF" w:rsidRPr="00316740" w:rsidRDefault="00647ADF"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C2B8F">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647ADF" w:rsidRPr="00ED7C80" w:rsidRDefault="00647ADF" w:rsidP="009C7640">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557A9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557A90">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32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w:t>
            </w:r>
            <w:r w:rsidR="006822EE" w:rsidRPr="00ED7C80">
              <w:rPr>
                <w:rFonts w:ascii="Times New Roman" w:hAnsi="Times New Roman" w:cs="Times New Roman"/>
                <w:bCs/>
                <w:sz w:val="18"/>
                <w:szCs w:val="18"/>
              </w:rPr>
              <w:lastRenderedPageBreak/>
              <w:t xml:space="preserve">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lastRenderedPageBreak/>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2D3010">
        <w:trPr>
          <w:gridAfter w:val="1"/>
          <w:wAfter w:w="21" w:type="dxa"/>
          <w:trHeight w:val="123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D3010" w:rsidRPr="00ED7C80" w:rsidRDefault="00647ADF" w:rsidP="00601A1A">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p w:rsidR="00B04A74" w:rsidRPr="00ED7C80" w:rsidRDefault="00B04A74" w:rsidP="00601A1A">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20F4F" w:rsidRPr="00ED6311" w:rsidTr="003629D0">
        <w:trPr>
          <w:gridAfter w:val="1"/>
          <w:wAfter w:w="21" w:type="dxa"/>
          <w:trHeight w:val="204"/>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Default="00520F4F" w:rsidP="0032143E">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20F4F" w:rsidRDefault="00520F4F" w:rsidP="0032143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p w:rsidR="00B04A74" w:rsidRDefault="00B04A74" w:rsidP="0032143E">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20F4F"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520F4F"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520F4F" w:rsidRPr="00621E61" w:rsidRDefault="00520F4F" w:rsidP="0032143E">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20F4F" w:rsidRPr="0065488E" w:rsidRDefault="00520F4F"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Pr="0065488E" w:rsidRDefault="00520F4F"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9F70EB"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Default="00520F4F" w:rsidP="003214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32143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Default="007632D6" w:rsidP="0032143E">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65488E" w:rsidRDefault="00520F4F"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65488E" w:rsidRDefault="00520F4F" w:rsidP="003214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0F4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CSX510-09.</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D91D75" w:rsidRDefault="00520F4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Pr="00D91D75" w:rsidRDefault="00520F4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D91D75" w:rsidRDefault="00520F4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D91D75" w:rsidRDefault="00520F4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Default="00520F4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10683C" w:rsidRDefault="00520F4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B26805"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Default="00520F4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Default="00520F4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ED6311" w:rsidRDefault="00520F4F"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20F4F" w:rsidRPr="00ED6311" w:rsidRDefault="00520F4F" w:rsidP="002F0D28">
            <w:pPr>
              <w:spacing w:after="0" w:line="240" w:lineRule="auto"/>
              <w:jc w:val="center"/>
              <w:rPr>
                <w:rFonts w:ascii="Times New Roman" w:hAnsi="Times New Roman" w:cs="Times New Roman"/>
                <w:bCs/>
                <w:sz w:val="18"/>
                <w:szCs w:val="18"/>
              </w:rPr>
            </w:pPr>
          </w:p>
          <w:p w:rsidR="00520F4F" w:rsidRPr="00ED6311" w:rsidRDefault="00520F4F" w:rsidP="002F0D28">
            <w:pPr>
              <w:spacing w:after="0" w:line="240" w:lineRule="auto"/>
              <w:jc w:val="center"/>
              <w:rPr>
                <w:rFonts w:ascii="Times New Roman" w:hAnsi="Times New Roman" w:cs="Times New Roman"/>
                <w:bCs/>
                <w:sz w:val="18"/>
                <w:szCs w:val="18"/>
              </w:rPr>
            </w:pPr>
          </w:p>
          <w:p w:rsidR="00520F4F" w:rsidRPr="00ED6311" w:rsidRDefault="00520F4F" w:rsidP="002F0D28">
            <w:pPr>
              <w:spacing w:after="0" w:line="240" w:lineRule="auto"/>
              <w:jc w:val="center"/>
              <w:rPr>
                <w:rFonts w:ascii="Times New Roman" w:hAnsi="Times New Roman" w:cs="Times New Roman"/>
                <w:bCs/>
                <w:sz w:val="18"/>
                <w:szCs w:val="18"/>
              </w:rPr>
            </w:pPr>
          </w:p>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вспомогательного инструмента (токарные патроны, цанги, державки, втулки, индикаторы, </w:t>
            </w:r>
            <w:r w:rsidRPr="00ED6311">
              <w:rPr>
                <w:rFonts w:ascii="Times New Roman" w:hAnsi="Times New Roman" w:cs="Times New Roman"/>
                <w:bCs/>
                <w:sz w:val="18"/>
                <w:szCs w:val="18"/>
              </w:rPr>
              <w:lastRenderedPageBreak/>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20F4F" w:rsidRPr="00ED6311" w:rsidRDefault="00520F4F" w:rsidP="002F0D28">
            <w:pPr>
              <w:spacing w:after="0" w:line="240" w:lineRule="auto"/>
              <w:jc w:val="center"/>
              <w:rPr>
                <w:rFonts w:ascii="Times New Roman" w:hAnsi="Times New Roman" w:cs="Times New Roman"/>
                <w:bCs/>
                <w:sz w:val="18"/>
                <w:szCs w:val="18"/>
              </w:rPr>
            </w:pPr>
          </w:p>
          <w:p w:rsidR="00520F4F" w:rsidRPr="00ED6311" w:rsidRDefault="00520F4F" w:rsidP="002F0D28">
            <w:pPr>
              <w:spacing w:after="0" w:line="240" w:lineRule="auto"/>
              <w:jc w:val="center"/>
              <w:rPr>
                <w:rFonts w:ascii="Times New Roman" w:hAnsi="Times New Roman" w:cs="Times New Roman"/>
                <w:bCs/>
                <w:sz w:val="18"/>
                <w:szCs w:val="18"/>
              </w:rPr>
            </w:pPr>
          </w:p>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ED6311" w:rsidRDefault="00520F4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520F4F" w:rsidRPr="00ED6311" w:rsidRDefault="00520F4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520F4F" w:rsidRPr="00ED6311" w:rsidRDefault="00520F4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20F4F" w:rsidRPr="00ED6311" w:rsidRDefault="00520F4F"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20F4F" w:rsidRDefault="00520F4F"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520F4F" w:rsidRPr="00ED6311" w:rsidRDefault="00520F4F"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20F4F" w:rsidRPr="00ED6311" w:rsidRDefault="00520F4F"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520F4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520F4F" w:rsidRPr="00ED6311" w:rsidRDefault="00520F4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20F4F" w:rsidRPr="00ED6311" w:rsidRDefault="00520F4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20F4F" w:rsidRPr="00ED6311" w:rsidRDefault="00520F4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513708">
        <w:rPr>
          <w:rFonts w:ascii="Times New Roman" w:hAnsi="Times New Roman" w:cs="Times New Roman"/>
          <w:sz w:val="28"/>
          <w:szCs w:val="28"/>
        </w:rPr>
        <w:t>С.Н. Раменский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6D622B">
        <w:rPr>
          <w:rFonts w:ascii="Times New Roman" w:hAnsi="Times New Roman" w:cs="Times New Roman"/>
          <w:sz w:val="28"/>
          <w:szCs w:val="28"/>
        </w:rPr>
        <w:t>11</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52B02"/>
    <w:rsid w:val="001548CC"/>
    <w:rsid w:val="00160AFC"/>
    <w:rsid w:val="00161926"/>
    <w:rsid w:val="001656FC"/>
    <w:rsid w:val="0017031D"/>
    <w:rsid w:val="00172F3A"/>
    <w:rsid w:val="001763EE"/>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86ABA"/>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A01FB"/>
    <w:rsid w:val="009A69A2"/>
    <w:rsid w:val="009B0329"/>
    <w:rsid w:val="009B2872"/>
    <w:rsid w:val="009B3BA3"/>
    <w:rsid w:val="009B3D60"/>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56E42"/>
    <w:rsid w:val="00D6095A"/>
    <w:rsid w:val="00D62645"/>
    <w:rsid w:val="00D62755"/>
    <w:rsid w:val="00D70237"/>
    <w:rsid w:val="00D70770"/>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27AE-4977-49A2-8A78-3EFD9018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78</Pages>
  <Words>17890</Words>
  <Characters>101974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76</cp:revision>
  <cp:lastPrinted>2017-09-07T01:39:00Z</cp:lastPrinted>
  <dcterms:created xsi:type="dcterms:W3CDTF">2017-09-06T01:43:00Z</dcterms:created>
  <dcterms:modified xsi:type="dcterms:W3CDTF">2017-09-11T04:19:00Z</dcterms:modified>
</cp:coreProperties>
</file>