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B61688"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Январь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r w:rsidRPr="00677D6F">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lastRenderedPageBreak/>
              <w:t xml:space="preserve">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444 122,00</w:t>
            </w:r>
            <w:r w:rsidR="002C686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w:t>
            </w:r>
            <w:r w:rsidRPr="00677D6F">
              <w:rPr>
                <w:rFonts w:ascii="Times New Roman" w:hAnsi="Times New Roman" w:cs="Times New Roman"/>
                <w:sz w:val="18"/>
                <w:szCs w:val="18"/>
              </w:rPr>
              <w:lastRenderedPageBreak/>
              <w:t>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w:t>
            </w:r>
            <w:r w:rsidRPr="00677D6F">
              <w:rPr>
                <w:rFonts w:ascii="Times New Roman" w:hAnsi="Times New Roman" w:cs="Times New Roman"/>
                <w:sz w:val="18"/>
                <w:szCs w:val="18"/>
              </w:rPr>
              <w:lastRenderedPageBreak/>
              <w:t>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r w:rsidRPr="00677D6F">
              <w:rPr>
                <w:rFonts w:ascii="Times New Roman" w:hAnsi="Times New Roman" w:cs="Times New Roman"/>
                <w:sz w:val="18"/>
                <w:szCs w:val="18"/>
              </w:rPr>
              <w:lastRenderedPageBreak/>
              <w:t>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w:t>
            </w:r>
            <w:r w:rsidRPr="00677D6F">
              <w:rPr>
                <w:rFonts w:ascii="Times New Roman" w:hAnsi="Times New Roman" w:cs="Times New Roman"/>
                <w:sz w:val="18"/>
                <w:szCs w:val="18"/>
              </w:rPr>
              <w:lastRenderedPageBreak/>
              <w:t>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379805,00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Объем 500л и </w:t>
            </w:r>
            <w:r w:rsidRPr="00677D6F">
              <w:rPr>
                <w:rFonts w:ascii="Times New Roman" w:hAnsi="Times New Roman" w:cs="Times New Roman"/>
                <w:sz w:val="18"/>
                <w:szCs w:val="18"/>
              </w:rPr>
              <w:lastRenderedPageBreak/>
              <w:t>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Замена окон в спальном корпусе на БО Красный </w:t>
            </w:r>
            <w:r w:rsidRPr="00677D6F">
              <w:rPr>
                <w:rFonts w:ascii="Times New Roman" w:hAnsi="Times New Roman" w:cs="Times New Roman"/>
                <w:sz w:val="18"/>
                <w:szCs w:val="18"/>
              </w:rPr>
              <w:lastRenderedPageBreak/>
              <w:t>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погрешность не </w:t>
            </w:r>
            <w:r w:rsidRPr="00677D6F">
              <w:rPr>
                <w:rFonts w:ascii="Times New Roman" w:hAnsi="Times New Roman" w:cs="Times New Roman"/>
                <w:sz w:val="18"/>
                <w:szCs w:val="18"/>
              </w:rPr>
              <w:lastRenderedPageBreak/>
              <w:t>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xml:space="preserve">, инструктаж </w:t>
            </w:r>
            <w:r w:rsidRPr="00677D6F">
              <w:rPr>
                <w:rFonts w:ascii="Times New Roman" w:hAnsi="Times New Roman" w:cs="Times New Roman"/>
                <w:sz w:val="18"/>
                <w:szCs w:val="18"/>
              </w:rPr>
              <w:lastRenderedPageBreak/>
              <w:t>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 xml:space="preserve">В соответствии с требованиями СНиП, ГОСТ. Опыт в </w:t>
            </w:r>
            <w:r w:rsidRPr="00AE6D9E">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внутренние размеры рабочей камеры (1200*860*700)мм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контроллера индукционной установки сборки </w:t>
            </w:r>
            <w:r>
              <w:rPr>
                <w:rFonts w:ascii="Times New Roman" w:hAnsi="Times New Roman" w:cs="Times New Roman"/>
                <w:sz w:val="18"/>
                <w:szCs w:val="18"/>
              </w:rPr>
              <w:lastRenderedPageBreak/>
              <w:t>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3E0BBD">
        <w:trPr>
          <w:trHeight w:val="223"/>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58715B" w:rsidRDefault="0078296C"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Участие субъектов малого и среднего предпринимательства в закупке</w:t>
            </w:r>
          </w:p>
          <w:p w:rsidR="00B2562B"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58715B">
              <w:rPr>
                <w:rFonts w:ascii="Times New Roman" w:hAnsi="Times New Roman" w:cs="Times New Roman"/>
                <w:sz w:val="18"/>
                <w:szCs w:val="20"/>
              </w:rPr>
              <w:t xml:space="preserve"> </w:t>
            </w:r>
            <w:r w:rsidR="00750999" w:rsidRPr="00750999">
              <w:rPr>
                <w:rFonts w:ascii="Times New Roman" w:hAnsi="Times New Roman" w:cs="Times New Roman"/>
                <w:sz w:val="18"/>
              </w:rPr>
              <w:t>642368229.71</w:t>
            </w:r>
            <w:r w:rsidR="00750999" w:rsidRPr="00750999">
              <w:rPr>
                <w:sz w:val="18"/>
              </w:rPr>
              <w:t xml:space="preserve"> </w:t>
            </w:r>
            <w:r w:rsidRPr="0058715B">
              <w:rPr>
                <w:rFonts w:ascii="Times New Roman" w:hAnsi="Times New Roman" w:cs="Times New Roman"/>
                <w:sz w:val="18"/>
                <w:szCs w:val="20"/>
              </w:rPr>
              <w:t>рублей</w:t>
            </w:r>
          </w:p>
          <w:p w:rsidR="00B2562B"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proofErr w:type="gramStart"/>
            <w:r w:rsidRPr="0058715B">
              <w:rPr>
                <w:rFonts w:ascii="Times New Roman" w:hAnsi="Times New Roman" w:cs="Times New Roman"/>
                <w:sz w:val="18"/>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58715B">
              <w:rPr>
                <w:rFonts w:ascii="Times New Roman" w:hAnsi="Times New Roman" w:cs="Times New Roman"/>
                <w:sz w:val="18"/>
                <w:szCs w:val="20"/>
              </w:rPr>
              <w:t>предпринимательства, составляет</w:t>
            </w:r>
            <w:r w:rsidR="00935A01" w:rsidRPr="0058715B">
              <w:rPr>
                <w:rFonts w:ascii="Times New Roman" w:hAnsi="Times New Roman" w:cs="Times New Roman"/>
                <w:sz w:val="18"/>
                <w:szCs w:val="20"/>
              </w:rPr>
              <w:t xml:space="preserve"> </w:t>
            </w:r>
            <w:r w:rsidR="0058715B" w:rsidRPr="0058715B">
              <w:rPr>
                <w:rFonts w:ascii="Times New Roman" w:hAnsi="Times New Roman" w:cs="Times New Roman"/>
                <w:sz w:val="18"/>
                <w:szCs w:val="20"/>
              </w:rPr>
              <w:t xml:space="preserve">118582598.83 </w:t>
            </w:r>
            <w:r w:rsidRPr="0058715B">
              <w:rPr>
                <w:rFonts w:ascii="Times New Roman" w:hAnsi="Times New Roman" w:cs="Times New Roman"/>
                <w:sz w:val="18"/>
                <w:szCs w:val="20"/>
              </w:rPr>
              <w:t>рублей.</w:t>
            </w:r>
            <w:proofErr w:type="gramEnd"/>
          </w:p>
          <w:p w:rsidR="00970B9A" w:rsidRPr="0058715B" w:rsidRDefault="00B2562B" w:rsidP="008F45CD">
            <w:pPr>
              <w:autoSpaceDE w:val="0"/>
              <w:autoSpaceDN w:val="0"/>
              <w:adjustRightInd w:val="0"/>
              <w:spacing w:after="0" w:line="240" w:lineRule="auto"/>
              <w:jc w:val="center"/>
              <w:rPr>
                <w:rFonts w:ascii="Times New Roman" w:hAnsi="Times New Roman" w:cs="Times New Roman"/>
                <w:sz w:val="18"/>
                <w:szCs w:val="20"/>
              </w:rPr>
            </w:pPr>
            <w:r w:rsidRPr="0058715B">
              <w:rPr>
                <w:rFonts w:ascii="Times New Roman" w:hAnsi="Times New Roman" w:cs="Times New Roman"/>
                <w:sz w:val="18"/>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58715B">
              <w:rPr>
                <w:rFonts w:ascii="Times New Roman" w:hAnsi="Times New Roman" w:cs="Times New Roman"/>
                <w:sz w:val="18"/>
                <w:szCs w:val="20"/>
              </w:rPr>
              <w:t xml:space="preserve">редпринимательства, составляет </w:t>
            </w:r>
          </w:p>
          <w:p w:rsidR="0078296C" w:rsidRPr="0058715B" w:rsidRDefault="00082191" w:rsidP="008F45CD">
            <w:pPr>
              <w:autoSpaceDE w:val="0"/>
              <w:autoSpaceDN w:val="0"/>
              <w:adjustRightInd w:val="0"/>
              <w:spacing w:after="0" w:line="240" w:lineRule="auto"/>
              <w:jc w:val="center"/>
              <w:rPr>
                <w:rFonts w:ascii="Times New Roman" w:hAnsi="Times New Roman" w:cs="Times New Roman"/>
                <w:sz w:val="18"/>
                <w:szCs w:val="20"/>
              </w:rPr>
            </w:pPr>
            <w:r w:rsidRPr="00082191">
              <w:rPr>
                <w:rFonts w:ascii="Times New Roman" w:hAnsi="Times New Roman" w:cs="Times New Roman"/>
                <w:sz w:val="18"/>
              </w:rPr>
              <w:t>214258874.57</w:t>
            </w:r>
            <w:r w:rsidR="00816B44" w:rsidRPr="00082191">
              <w:rPr>
                <w:sz w:val="14"/>
              </w:rPr>
              <w:t xml:space="preserve"> </w:t>
            </w:r>
            <w:r w:rsidR="0089354F" w:rsidRPr="0058715B">
              <w:rPr>
                <w:rFonts w:ascii="Times New Roman" w:hAnsi="Times New Roman" w:cs="Times New Roman"/>
                <w:sz w:val="18"/>
                <w:szCs w:val="20"/>
              </w:rPr>
              <w:t>рублей</w:t>
            </w:r>
            <w:r w:rsidR="003E30D5" w:rsidRPr="0058715B">
              <w:rPr>
                <w:rFonts w:ascii="Times New Roman" w:hAnsi="Times New Roman" w:cs="Times New Roman"/>
                <w:sz w:val="18"/>
                <w:szCs w:val="20"/>
              </w:rPr>
              <w:t xml:space="preserve"> </w:t>
            </w:r>
            <w:r w:rsidR="00B2562B" w:rsidRPr="0058715B">
              <w:rPr>
                <w:rFonts w:ascii="Times New Roman" w:hAnsi="Times New Roman" w:cs="Times New Roman"/>
                <w:sz w:val="18"/>
                <w:szCs w:val="20"/>
              </w:rPr>
              <w:t>(</w:t>
            </w:r>
            <w:bookmarkStart w:id="1" w:name="_GoBack"/>
            <w:r w:rsidR="00FE0428" w:rsidRPr="00FE0428">
              <w:rPr>
                <w:rFonts w:ascii="Times New Roman" w:hAnsi="Times New Roman" w:cs="Times New Roman"/>
                <w:sz w:val="18"/>
              </w:rPr>
              <w:t>40.91</w:t>
            </w:r>
            <w:r w:rsidR="0058715B" w:rsidRPr="00FE0428">
              <w:rPr>
                <w:rFonts w:ascii="Times New Roman" w:hAnsi="Times New Roman" w:cs="Times New Roman"/>
                <w:sz w:val="14"/>
                <w:szCs w:val="20"/>
              </w:rPr>
              <w:t xml:space="preserve"> </w:t>
            </w:r>
            <w:bookmarkEnd w:id="1"/>
            <w:r w:rsidR="00B2562B" w:rsidRPr="0058715B">
              <w:rPr>
                <w:rFonts w:ascii="Times New Roman" w:hAnsi="Times New Roman" w:cs="Times New Roman"/>
                <w:sz w:val="18"/>
                <w:szCs w:val="20"/>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AF5758">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2B6F22"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941C84" w:rsidRPr="00652C31" w:rsidTr="00754CC9">
        <w:trPr>
          <w:trHeight w:val="79"/>
        </w:trPr>
        <w:tc>
          <w:tcPr>
            <w:tcW w:w="675" w:type="dxa"/>
            <w:tcBorders>
              <w:top w:val="single" w:sz="4" w:space="0" w:color="auto"/>
              <w:bottom w:val="single" w:sz="4" w:space="0" w:color="auto"/>
              <w:right w:val="single" w:sz="4" w:space="0" w:color="auto"/>
            </w:tcBorders>
          </w:tcPr>
          <w:p w:rsidR="00941C84" w:rsidRPr="00652C31"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021509" w:rsidRDefault="00941C84"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235962">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BC0B28" w:rsidRPr="00677D6F"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p>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CA139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Default="00BC0B28" w:rsidP="00CA1393">
            <w:pPr>
              <w:spacing w:after="0" w:line="240" w:lineRule="auto"/>
              <w:jc w:val="center"/>
              <w:rPr>
                <w:rFonts w:ascii="Times New Roman" w:hAnsi="Times New Roman" w:cs="Times New Roman"/>
                <w:sz w:val="18"/>
                <w:szCs w:val="18"/>
              </w:rPr>
            </w:pPr>
          </w:p>
          <w:p w:rsidR="00BC0B28" w:rsidRDefault="00BC0B28" w:rsidP="00CA1393">
            <w:pPr>
              <w:spacing w:after="0" w:line="240" w:lineRule="auto"/>
              <w:jc w:val="center"/>
              <w:rPr>
                <w:rFonts w:ascii="Times New Roman" w:hAnsi="Times New Roman" w:cs="Times New Roman"/>
                <w:sz w:val="18"/>
                <w:szCs w:val="18"/>
              </w:rPr>
            </w:pPr>
          </w:p>
          <w:p w:rsidR="00BC0B28" w:rsidRDefault="00BC0B28" w:rsidP="00CA1393">
            <w:pPr>
              <w:spacing w:after="0" w:line="240" w:lineRule="auto"/>
              <w:jc w:val="center"/>
              <w:rPr>
                <w:rFonts w:ascii="Times New Roman" w:hAnsi="Times New Roman" w:cs="Times New Roman"/>
                <w:sz w:val="18"/>
                <w:szCs w:val="18"/>
              </w:rPr>
            </w:pPr>
          </w:p>
          <w:p w:rsidR="00BC0B28" w:rsidRDefault="00BC0B28" w:rsidP="00CA13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CA139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73F3A"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Генеральный директор</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П</w:t>
      </w:r>
      <w:r w:rsidR="00AF5758">
        <w:rPr>
          <w:rFonts w:ascii="Times New Roman" w:hAnsi="Times New Roman" w:cs="Times New Roman"/>
          <w:sz w:val="28"/>
          <w:szCs w:val="28"/>
        </w:rPr>
        <w:t xml:space="preserve">.В. </w:t>
      </w:r>
      <w:r w:rsidRPr="00A62608">
        <w:rPr>
          <w:rFonts w:ascii="Times New Roman" w:hAnsi="Times New Roman" w:cs="Times New Roman"/>
          <w:sz w:val="28"/>
          <w:szCs w:val="28"/>
        </w:rPr>
        <w:t>Заболотный</w:t>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sidR="00AF5758">
        <w:rPr>
          <w:rFonts w:ascii="Times New Roman" w:hAnsi="Times New Roman" w:cs="Times New Roman"/>
          <w:sz w:val="28"/>
          <w:szCs w:val="28"/>
        </w:rPr>
        <w:t>2</w:t>
      </w:r>
      <w:r w:rsidR="00BC0B28">
        <w:rPr>
          <w:rFonts w:ascii="Times New Roman" w:hAnsi="Times New Roman" w:cs="Times New Roman"/>
          <w:sz w:val="28"/>
          <w:szCs w:val="28"/>
        </w:rPr>
        <w:t>8</w:t>
      </w:r>
      <w:r w:rsidR="00786417" w:rsidRPr="000D7B1E">
        <w:rPr>
          <w:rFonts w:ascii="Times New Roman" w:hAnsi="Times New Roman" w:cs="Times New Roman"/>
          <w:sz w:val="28"/>
          <w:szCs w:val="28"/>
        </w:rPr>
        <w:t xml:space="preserve">» </w:t>
      </w:r>
      <w:r w:rsidR="000D5E6A">
        <w:rPr>
          <w:rFonts w:ascii="Times New Roman" w:hAnsi="Times New Roman" w:cs="Times New Roman"/>
          <w:sz w:val="28"/>
          <w:szCs w:val="28"/>
        </w:rPr>
        <w:t>октября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88" w:rsidRDefault="00B61688" w:rsidP="009A558F">
      <w:pPr>
        <w:spacing w:after="0" w:line="240" w:lineRule="auto"/>
      </w:pPr>
      <w:r>
        <w:separator/>
      </w:r>
    </w:p>
  </w:endnote>
  <w:endnote w:type="continuationSeparator" w:id="0">
    <w:p w:rsidR="00B61688" w:rsidRDefault="00B61688"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88" w:rsidRDefault="00B61688" w:rsidP="009A558F">
      <w:pPr>
        <w:spacing w:after="0" w:line="240" w:lineRule="auto"/>
      </w:pPr>
      <w:r>
        <w:separator/>
      </w:r>
    </w:p>
  </w:footnote>
  <w:footnote w:type="continuationSeparator" w:id="0">
    <w:p w:rsidR="00B61688" w:rsidRDefault="00B61688"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0760"/>
    <w:rsid w:val="00021509"/>
    <w:rsid w:val="00022726"/>
    <w:rsid w:val="0002472B"/>
    <w:rsid w:val="000273D3"/>
    <w:rsid w:val="00034259"/>
    <w:rsid w:val="0003679B"/>
    <w:rsid w:val="00037B35"/>
    <w:rsid w:val="00040326"/>
    <w:rsid w:val="00040E75"/>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418"/>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71B"/>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4BB0"/>
    <w:rsid w:val="001F6C6B"/>
    <w:rsid w:val="002008CE"/>
    <w:rsid w:val="00200A71"/>
    <w:rsid w:val="00206A31"/>
    <w:rsid w:val="00210AE9"/>
    <w:rsid w:val="00211602"/>
    <w:rsid w:val="002120D9"/>
    <w:rsid w:val="0021379B"/>
    <w:rsid w:val="002156A9"/>
    <w:rsid w:val="00217298"/>
    <w:rsid w:val="00224406"/>
    <w:rsid w:val="002257B6"/>
    <w:rsid w:val="002271C6"/>
    <w:rsid w:val="002271D0"/>
    <w:rsid w:val="002278DA"/>
    <w:rsid w:val="00230F9C"/>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5EEB"/>
    <w:rsid w:val="002B6450"/>
    <w:rsid w:val="002B6F22"/>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0BA4"/>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7545"/>
    <w:rsid w:val="003F02B9"/>
    <w:rsid w:val="003F38A8"/>
    <w:rsid w:val="003F3EC6"/>
    <w:rsid w:val="003F5743"/>
    <w:rsid w:val="003F7715"/>
    <w:rsid w:val="00400393"/>
    <w:rsid w:val="00403607"/>
    <w:rsid w:val="004058BB"/>
    <w:rsid w:val="00407A42"/>
    <w:rsid w:val="00412ACE"/>
    <w:rsid w:val="00412C67"/>
    <w:rsid w:val="00423180"/>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05BC"/>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06950"/>
    <w:rsid w:val="00511AE6"/>
    <w:rsid w:val="00514A1C"/>
    <w:rsid w:val="00515BB2"/>
    <w:rsid w:val="00516272"/>
    <w:rsid w:val="00517725"/>
    <w:rsid w:val="00520696"/>
    <w:rsid w:val="00520CE1"/>
    <w:rsid w:val="00522238"/>
    <w:rsid w:val="00523FD7"/>
    <w:rsid w:val="00535779"/>
    <w:rsid w:val="00535B16"/>
    <w:rsid w:val="00535DFB"/>
    <w:rsid w:val="0054342C"/>
    <w:rsid w:val="00543C09"/>
    <w:rsid w:val="00543ED8"/>
    <w:rsid w:val="00551506"/>
    <w:rsid w:val="00554A0A"/>
    <w:rsid w:val="00557033"/>
    <w:rsid w:val="0056191D"/>
    <w:rsid w:val="005629AE"/>
    <w:rsid w:val="00566246"/>
    <w:rsid w:val="005662EE"/>
    <w:rsid w:val="00570149"/>
    <w:rsid w:val="00572168"/>
    <w:rsid w:val="00572B09"/>
    <w:rsid w:val="00573117"/>
    <w:rsid w:val="0058490C"/>
    <w:rsid w:val="00586C00"/>
    <w:rsid w:val="0058715B"/>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6636"/>
    <w:rsid w:val="007268DA"/>
    <w:rsid w:val="007301E8"/>
    <w:rsid w:val="00730725"/>
    <w:rsid w:val="007320D9"/>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2508"/>
    <w:rsid w:val="007A6E7C"/>
    <w:rsid w:val="007B0177"/>
    <w:rsid w:val="007B2B8F"/>
    <w:rsid w:val="007B3432"/>
    <w:rsid w:val="007B3949"/>
    <w:rsid w:val="007B3CD4"/>
    <w:rsid w:val="007B3DC7"/>
    <w:rsid w:val="007B3E5F"/>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74C"/>
    <w:rsid w:val="00814948"/>
    <w:rsid w:val="00816B44"/>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12"/>
    <w:rsid w:val="00895E40"/>
    <w:rsid w:val="00897992"/>
    <w:rsid w:val="008A43C6"/>
    <w:rsid w:val="008A531B"/>
    <w:rsid w:val="008B2CAF"/>
    <w:rsid w:val="008B6FAD"/>
    <w:rsid w:val="008B771F"/>
    <w:rsid w:val="008D48BA"/>
    <w:rsid w:val="008D4EA1"/>
    <w:rsid w:val="008D58FE"/>
    <w:rsid w:val="008E4E48"/>
    <w:rsid w:val="008E4F3B"/>
    <w:rsid w:val="008E6FBF"/>
    <w:rsid w:val="008F0161"/>
    <w:rsid w:val="008F1B70"/>
    <w:rsid w:val="008F45CD"/>
    <w:rsid w:val="008F56C9"/>
    <w:rsid w:val="008F6348"/>
    <w:rsid w:val="008F69CB"/>
    <w:rsid w:val="008F7842"/>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59C4"/>
    <w:rsid w:val="00964D05"/>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0655"/>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280"/>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5758"/>
    <w:rsid w:val="00AF6B90"/>
    <w:rsid w:val="00AF7E7E"/>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7531"/>
    <w:rsid w:val="00B84D2E"/>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0B28"/>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1F2D"/>
    <w:rsid w:val="00C2256B"/>
    <w:rsid w:val="00C24099"/>
    <w:rsid w:val="00C24F56"/>
    <w:rsid w:val="00C31611"/>
    <w:rsid w:val="00C42086"/>
    <w:rsid w:val="00C43418"/>
    <w:rsid w:val="00C46EFE"/>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17EE"/>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7823"/>
    <w:rsid w:val="00DC145B"/>
    <w:rsid w:val="00DC3F78"/>
    <w:rsid w:val="00DC47FA"/>
    <w:rsid w:val="00DC5B30"/>
    <w:rsid w:val="00DD2E89"/>
    <w:rsid w:val="00DE15E5"/>
    <w:rsid w:val="00DE3C85"/>
    <w:rsid w:val="00DE6684"/>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4B0"/>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03BF"/>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60C5"/>
    <w:rsid w:val="00F67046"/>
    <w:rsid w:val="00F75C05"/>
    <w:rsid w:val="00F76600"/>
    <w:rsid w:val="00F824DC"/>
    <w:rsid w:val="00F91E25"/>
    <w:rsid w:val="00F91F49"/>
    <w:rsid w:val="00F934A0"/>
    <w:rsid w:val="00F942F6"/>
    <w:rsid w:val="00FA0FA8"/>
    <w:rsid w:val="00FA15CC"/>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0428"/>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E04A-F159-4FD6-AEAC-35F726BF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66</Pages>
  <Words>18870</Words>
  <Characters>107559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17</cp:revision>
  <cp:lastPrinted>2016-10-31T02:02:00Z</cp:lastPrinted>
  <dcterms:created xsi:type="dcterms:W3CDTF">2016-10-25T09:50:00Z</dcterms:created>
  <dcterms:modified xsi:type="dcterms:W3CDTF">2016-10-31T02:20:00Z</dcterms:modified>
</cp:coreProperties>
</file>