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1B4E5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ПРОТОКОЛ</w:t>
      </w:r>
    </w:p>
    <w:p w:rsidR="005E6119" w:rsidRPr="001B4E5C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заседания Единой комиссии по</w:t>
      </w:r>
      <w:r w:rsidR="00297AE3" w:rsidRPr="001B4E5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оценке и сопоставлению предложений участников</w:t>
      </w:r>
      <w:r w:rsidR="006915A1"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открыто</w:t>
      </w:r>
      <w:r w:rsidR="00297AE3"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го</w:t>
      </w: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конкурс</w:t>
      </w:r>
      <w:r w:rsidR="00297AE3"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а</w:t>
      </w: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в электронной форме</w:t>
      </w:r>
    </w:p>
    <w:p w:rsidR="005E6119" w:rsidRPr="001B4E5C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ab/>
      </w:r>
    </w:p>
    <w:p w:rsidR="005E6119" w:rsidRPr="001B4E5C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ab/>
        <w:t>«</w:t>
      </w:r>
      <w:r w:rsidR="00B153E5" w:rsidRPr="001B4E5C">
        <w:rPr>
          <w:rFonts w:ascii="Times New Roman" w:hAnsi="Times New Roman" w:cs="Times New Roman"/>
          <w:sz w:val="19"/>
          <w:szCs w:val="19"/>
          <w:lang w:val="ru-RU" w:eastAsia="ru-RU"/>
        </w:rPr>
        <w:t>20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B153E5" w:rsidRPr="001B4E5C">
        <w:rPr>
          <w:rFonts w:ascii="Times New Roman" w:hAnsi="Times New Roman" w:cs="Times New Roman"/>
          <w:sz w:val="19"/>
          <w:szCs w:val="19"/>
          <w:lang w:val="ru-RU" w:eastAsia="ru-RU"/>
        </w:rPr>
        <w:t>ноября 2014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г.</w:t>
      </w:r>
    </w:p>
    <w:p w:rsidR="000E7F4F" w:rsidRPr="001B4E5C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B153E5" w:rsidRPr="001B4E5C" w:rsidRDefault="005E6119" w:rsidP="00B153E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Открытый конкурс в электронной форме</w:t>
      </w:r>
      <w:r w:rsidR="00ED714F"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1B4E5C">
        <w:rPr>
          <w:rFonts w:ascii="Times New Roman" w:hAnsi="Times New Roman" w:cs="Times New Roman"/>
          <w:b/>
          <w:sz w:val="19"/>
          <w:szCs w:val="19"/>
          <w:lang w:val="ru-RU" w:eastAsia="ru-RU"/>
        </w:rPr>
        <w:t>на право заключения Договора на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B153E5" w:rsidRPr="001B4E5C">
        <w:rPr>
          <w:rFonts w:ascii="Times New Roman" w:hAnsi="Times New Roman" w:cs="Times New Roman"/>
          <w:b/>
          <w:sz w:val="19"/>
          <w:szCs w:val="19"/>
          <w:lang w:val="ru-RU"/>
        </w:rPr>
        <w:t xml:space="preserve">диагностику несущих конструкций и геодезические наблюдения за осадками и деформацией каркаса подвальной части корпуса №21 в осях </w:t>
      </w:r>
      <w:proofErr w:type="gramStart"/>
      <w:r w:rsidR="00B153E5" w:rsidRPr="001B4E5C">
        <w:rPr>
          <w:rFonts w:ascii="Times New Roman" w:hAnsi="Times New Roman" w:cs="Times New Roman"/>
          <w:b/>
          <w:sz w:val="19"/>
          <w:szCs w:val="19"/>
          <w:lang w:val="ru-RU"/>
        </w:rPr>
        <w:t>А-Д</w:t>
      </w:r>
      <w:proofErr w:type="gramEnd"/>
      <w:r w:rsidR="00B153E5" w:rsidRPr="001B4E5C">
        <w:rPr>
          <w:rFonts w:ascii="Times New Roman" w:hAnsi="Times New Roman" w:cs="Times New Roman"/>
          <w:b/>
          <w:sz w:val="19"/>
          <w:szCs w:val="19"/>
          <w:lang w:val="ru-RU"/>
        </w:rPr>
        <w:t>/1-2.</w:t>
      </w:r>
    </w:p>
    <w:p w:rsidR="000E7F4F" w:rsidRPr="001B4E5C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Заказчик: 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приборов-Новосибирский</w:t>
      </w:r>
      <w:proofErr w:type="spellEnd"/>
      <w:proofErr w:type="gramEnd"/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завод имени Коминтерна»</w:t>
      </w:r>
      <w:r w:rsidR="000D1459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.</w:t>
      </w:r>
    </w:p>
    <w:p w:rsidR="005E6119" w:rsidRPr="001B4E5C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1B4E5C" w:rsidTr="00B0521B">
        <w:trPr>
          <w:trHeight w:val="830"/>
        </w:trPr>
        <w:tc>
          <w:tcPr>
            <w:tcW w:w="6329" w:type="dxa"/>
          </w:tcPr>
          <w:p w:rsidR="005E6119" w:rsidRPr="001B4E5C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E6119" w:rsidRPr="001B4E5C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</w:t>
            </w:r>
            <w:r w:rsidR="001F4562" w:rsidRPr="001B4E5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экономике и финансам</w:t>
            </w:r>
            <w:r w:rsidRPr="001B4E5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1B4E5C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5E6119" w:rsidRPr="001B4E5C" w:rsidTr="00B0521B">
        <w:trPr>
          <w:trHeight w:val="254"/>
        </w:trPr>
        <w:tc>
          <w:tcPr>
            <w:tcW w:w="6329" w:type="dxa"/>
          </w:tcPr>
          <w:p w:rsidR="005E6119" w:rsidRPr="001B4E5C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1B4E5C" w:rsidTr="00DB03E2">
        <w:trPr>
          <w:trHeight w:val="318"/>
        </w:trPr>
        <w:tc>
          <w:tcPr>
            <w:tcW w:w="6329" w:type="dxa"/>
          </w:tcPr>
          <w:p w:rsidR="00DB03E2" w:rsidRPr="001B4E5C" w:rsidRDefault="00DB03E2" w:rsidP="00B153E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Заместитель </w:t>
            </w:r>
            <w:r w:rsidR="00B153E5"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генерального директора – главный инженер</w:t>
            </w:r>
          </w:p>
        </w:tc>
        <w:tc>
          <w:tcPr>
            <w:tcW w:w="3094" w:type="dxa"/>
          </w:tcPr>
          <w:p w:rsidR="005E6119" w:rsidRPr="001B4E5C" w:rsidRDefault="00B153E5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</w:tc>
      </w:tr>
      <w:tr w:rsidR="00DB03E2" w:rsidRPr="001B4E5C" w:rsidTr="00B0521B">
        <w:trPr>
          <w:trHeight w:val="495"/>
        </w:trPr>
        <w:tc>
          <w:tcPr>
            <w:tcW w:w="6329" w:type="dxa"/>
          </w:tcPr>
          <w:p w:rsidR="00DB03E2" w:rsidRPr="001B4E5C" w:rsidRDefault="00DB03E2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  <w:p w:rsidR="00DB03E2" w:rsidRPr="001B4E5C" w:rsidRDefault="00DB03E2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3094" w:type="dxa"/>
          </w:tcPr>
          <w:p w:rsidR="00DB03E2" w:rsidRPr="001B4E5C" w:rsidRDefault="00DB03E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5E6119" w:rsidRPr="001B4E5C" w:rsidTr="00B0521B">
        <w:trPr>
          <w:trHeight w:val="508"/>
        </w:trPr>
        <w:tc>
          <w:tcPr>
            <w:tcW w:w="6329" w:type="dxa"/>
          </w:tcPr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1B4E5C" w:rsidRDefault="005E6119" w:rsidP="00ED714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Натал</w:t>
            </w:r>
            <w:r w:rsidR="00ED714F"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</w:t>
            </w: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я Васильевна</w:t>
            </w:r>
          </w:p>
        </w:tc>
      </w:tr>
      <w:tr w:rsidR="005E6119" w:rsidRPr="001B4E5C" w:rsidTr="00B0521B">
        <w:trPr>
          <w:trHeight w:val="522"/>
        </w:trPr>
        <w:tc>
          <w:tcPr>
            <w:tcW w:w="6329" w:type="dxa"/>
          </w:tcPr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1B4E5C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</w:tc>
      </w:tr>
      <w:tr w:rsidR="005E6119" w:rsidRPr="001B4E5C" w:rsidTr="00B0521B">
        <w:trPr>
          <w:trHeight w:val="254"/>
        </w:trPr>
        <w:tc>
          <w:tcPr>
            <w:tcW w:w="6329" w:type="dxa"/>
          </w:tcPr>
          <w:p w:rsidR="005E6119" w:rsidRPr="001B4E5C" w:rsidRDefault="00DB03E2" w:rsidP="008775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5E6119"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5E6119"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5E6119"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1B4E5C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DB03E2" w:rsidRPr="001B4E5C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1B4E5C" w:rsidTr="00B0521B">
        <w:trPr>
          <w:trHeight w:val="508"/>
        </w:trPr>
        <w:tc>
          <w:tcPr>
            <w:tcW w:w="6329" w:type="dxa"/>
          </w:tcPr>
          <w:p w:rsidR="005E6119" w:rsidRPr="001B4E5C" w:rsidRDefault="00B153E5" w:rsidP="00DB03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proofErr w:type="gramStart"/>
            <w:r w:rsidR="005E6119"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О</w:t>
            </w:r>
            <w:proofErr w:type="gramEnd"/>
            <w:r w:rsidR="005E6119"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108</w:t>
            </w:r>
          </w:p>
        </w:tc>
        <w:tc>
          <w:tcPr>
            <w:tcW w:w="3094" w:type="dxa"/>
          </w:tcPr>
          <w:p w:rsidR="005E6119" w:rsidRPr="001B4E5C" w:rsidRDefault="00B153E5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</w:tr>
      <w:tr w:rsidR="005E6119" w:rsidRPr="001B4E5C" w:rsidTr="00B0521B">
        <w:trPr>
          <w:trHeight w:val="447"/>
        </w:trPr>
        <w:tc>
          <w:tcPr>
            <w:tcW w:w="6329" w:type="dxa"/>
          </w:tcPr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5E6119" w:rsidRPr="001B4E5C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1B4E5C" w:rsidRDefault="00DB03E2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5E6119" w:rsidRPr="001B4E5C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5E6119" w:rsidRPr="001B4E5C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Единой комиссии. </w:t>
      </w:r>
    </w:p>
    <w:p w:rsidR="005E6119" w:rsidRPr="001B4E5C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5E6119" w:rsidRPr="001B4E5C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247AB2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247AB2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.</w:t>
      </w:r>
      <w:r w:rsidR="00247AB2"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>Кворум имеется.</w:t>
      </w:r>
    </w:p>
    <w:p w:rsidR="005E6119" w:rsidRPr="001B4E5C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Повестка дня: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B153E5" w:rsidRPr="001B4E5C" w:rsidRDefault="005E6119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Вопрос №1. </w:t>
      </w:r>
      <w:r w:rsidR="00297AE3"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на </w:t>
      </w:r>
      <w:r w:rsidR="00B153E5"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диагностику несущих конструкций и геодезические наблюдения за осадками и деформацией каркаса подвальной части корпуса №21 в осях </w:t>
      </w:r>
      <w:proofErr w:type="gramStart"/>
      <w:r w:rsidR="00B153E5" w:rsidRPr="001B4E5C">
        <w:rPr>
          <w:rFonts w:ascii="Times New Roman" w:hAnsi="Times New Roman" w:cs="Times New Roman"/>
          <w:sz w:val="19"/>
          <w:szCs w:val="19"/>
          <w:lang w:val="ru-RU"/>
        </w:rPr>
        <w:t>А-Д</w:t>
      </w:r>
      <w:proofErr w:type="gramEnd"/>
      <w:r w:rsidR="00B153E5" w:rsidRPr="001B4E5C">
        <w:rPr>
          <w:rFonts w:ascii="Times New Roman" w:hAnsi="Times New Roman" w:cs="Times New Roman"/>
          <w:sz w:val="19"/>
          <w:szCs w:val="19"/>
          <w:lang w:val="ru-RU"/>
        </w:rPr>
        <w:t>/1-2.</w:t>
      </w:r>
    </w:p>
    <w:p w:rsidR="000E7F4F" w:rsidRPr="001B4E5C" w:rsidRDefault="00B45B48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B153E5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19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» </w:t>
      </w:r>
      <w:r w:rsidR="00B153E5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ноября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201</w:t>
      </w:r>
      <w:r w:rsidR="000D1459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4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г. в 15 часов </w:t>
      </w:r>
      <w:r w:rsidR="00B153E5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15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 </w:t>
      </w:r>
      <w:r w:rsidR="000D1459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(время местное) 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по адресу: г. Новосибирск, ул. </w:t>
      </w:r>
      <w:proofErr w:type="gramStart"/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Планетная</w:t>
      </w:r>
      <w:proofErr w:type="gramEnd"/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,32.</w:t>
      </w:r>
      <w:r w:rsidR="0092561B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</w:p>
    <w:p w:rsidR="00E75FA6" w:rsidRPr="001B4E5C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Оценка и сопоставление заявок проводилось Единой комиссией по размещению заказов «</w:t>
      </w:r>
      <w:r w:rsidR="00B153E5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20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» </w:t>
      </w:r>
      <w:r w:rsidR="00B153E5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ноября 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201</w:t>
      </w:r>
      <w:r w:rsidR="000D1459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4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г. в 15 часов </w:t>
      </w:r>
      <w:r w:rsidR="00D71890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30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</w:t>
      </w:r>
      <w:r w:rsidR="000D1459"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(время местное)</w:t>
      </w:r>
      <w:r w:rsidRPr="001B4E5C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по адресу: г. Новосибирск, ул. Планетная,32. </w:t>
      </w:r>
    </w:p>
    <w:p w:rsidR="005E6119" w:rsidRPr="001B4E5C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 Вопросу №1</w:t>
      </w:r>
    </w:p>
    <w:p w:rsidR="00B153E5" w:rsidRPr="001B4E5C" w:rsidRDefault="005E6119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Предмет Договора:</w:t>
      </w:r>
      <w:r w:rsidR="00B45B48"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="00B153E5"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Диагностика несущих конструкций и геодезические наблюдения за осадками и деформацией каркаса подвальной части корпуса №21 в осях </w:t>
      </w:r>
      <w:proofErr w:type="gramStart"/>
      <w:r w:rsidR="00B153E5" w:rsidRPr="001B4E5C">
        <w:rPr>
          <w:rFonts w:ascii="Times New Roman" w:hAnsi="Times New Roman" w:cs="Times New Roman"/>
          <w:sz w:val="19"/>
          <w:szCs w:val="19"/>
          <w:lang w:val="ru-RU"/>
        </w:rPr>
        <w:t>А-Д</w:t>
      </w:r>
      <w:proofErr w:type="gramEnd"/>
      <w:r w:rsidR="00B153E5" w:rsidRPr="001B4E5C">
        <w:rPr>
          <w:rFonts w:ascii="Times New Roman" w:hAnsi="Times New Roman" w:cs="Times New Roman"/>
          <w:sz w:val="19"/>
          <w:szCs w:val="19"/>
          <w:lang w:val="ru-RU"/>
        </w:rPr>
        <w:t>/1-2.</w:t>
      </w:r>
    </w:p>
    <w:p w:rsidR="00E75FA6" w:rsidRPr="001B4E5C" w:rsidRDefault="00E75FA6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Cs/>
          <w:sz w:val="19"/>
          <w:szCs w:val="19"/>
          <w:lang w:val="ru-RU" w:eastAsia="ru-RU"/>
        </w:rPr>
        <w:t>Оценке и сопоставлению подлежат заявки следующих участников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B3321" w:rsidRPr="001B4E5C" w:rsidRDefault="00EB3321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794"/>
        <w:gridCol w:w="4700"/>
      </w:tblGrid>
      <w:tr w:rsidR="00043ECB" w:rsidRPr="001B4E5C" w:rsidTr="002A4C73">
        <w:trPr>
          <w:trHeight w:val="756"/>
        </w:trPr>
        <w:tc>
          <w:tcPr>
            <w:tcW w:w="469" w:type="dxa"/>
          </w:tcPr>
          <w:p w:rsidR="00043ECB" w:rsidRPr="001B4E5C" w:rsidRDefault="00043ECB" w:rsidP="002A4C7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043ECB" w:rsidRPr="001B4E5C" w:rsidRDefault="00043ECB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3325" w:type="dxa"/>
          </w:tcPr>
          <w:p w:rsidR="00043ECB" w:rsidRPr="001B4E5C" w:rsidRDefault="00043ECB" w:rsidP="002A4C7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043ECB" w:rsidRPr="001B4E5C" w:rsidRDefault="00043ECB" w:rsidP="002A4C7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3260" w:type="dxa"/>
          </w:tcPr>
          <w:p w:rsidR="00043ECB" w:rsidRPr="001B4E5C" w:rsidRDefault="00043ECB" w:rsidP="002A4C7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</w:tr>
      <w:tr w:rsidR="00043ECB" w:rsidRPr="001B4E5C" w:rsidTr="002A4C73">
        <w:trPr>
          <w:trHeight w:val="550"/>
        </w:trPr>
        <w:tc>
          <w:tcPr>
            <w:tcW w:w="469" w:type="dxa"/>
          </w:tcPr>
          <w:p w:rsidR="00043ECB" w:rsidRPr="001B4E5C" w:rsidRDefault="00043ECB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3325" w:type="dxa"/>
          </w:tcPr>
          <w:p w:rsidR="00043ECB" w:rsidRPr="001B4E5C" w:rsidRDefault="00B153E5" w:rsidP="002A4C73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"ЭКСПЕРТЦЕНТР"</w:t>
            </w: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3260" w:type="dxa"/>
          </w:tcPr>
          <w:p w:rsidR="00043ECB" w:rsidRPr="001B4E5C" w:rsidRDefault="00D71890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603061, Россия, г. Нижний Новгород, ул. Паскаля, д. 3 кв. 30А</w:t>
            </w:r>
            <w:proofErr w:type="gramEnd"/>
          </w:p>
        </w:tc>
      </w:tr>
      <w:tr w:rsidR="00043ECB" w:rsidRPr="00AB2F42" w:rsidTr="002A4C73">
        <w:trPr>
          <w:trHeight w:val="480"/>
        </w:trPr>
        <w:tc>
          <w:tcPr>
            <w:tcW w:w="469" w:type="dxa"/>
          </w:tcPr>
          <w:p w:rsidR="00043ECB" w:rsidRPr="001B4E5C" w:rsidRDefault="00043ECB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3325" w:type="dxa"/>
          </w:tcPr>
          <w:p w:rsidR="00043ECB" w:rsidRPr="001B4E5C" w:rsidRDefault="00B153E5" w:rsidP="002A4C73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"МОНТАЖСИБСПЕЦ"</w:t>
            </w:r>
          </w:p>
        </w:tc>
        <w:tc>
          <w:tcPr>
            <w:tcW w:w="3260" w:type="dxa"/>
          </w:tcPr>
          <w:p w:rsidR="002A4C73" w:rsidRPr="001B4E5C" w:rsidRDefault="00B153E5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630032, г. Новосибирск, ул. </w:t>
            </w:r>
            <w:proofErr w:type="gram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Планировочная</w:t>
            </w:r>
            <w:proofErr w:type="gram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18/1 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оф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 533</w:t>
            </w:r>
          </w:p>
        </w:tc>
      </w:tr>
      <w:tr w:rsidR="002A4C73" w:rsidRPr="001B4E5C" w:rsidTr="002A4C73">
        <w:trPr>
          <w:trHeight w:val="333"/>
        </w:trPr>
        <w:tc>
          <w:tcPr>
            <w:tcW w:w="469" w:type="dxa"/>
          </w:tcPr>
          <w:p w:rsidR="002A4C73" w:rsidRPr="001B4E5C" w:rsidRDefault="002A4C73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3.</w:t>
            </w:r>
          </w:p>
        </w:tc>
        <w:tc>
          <w:tcPr>
            <w:tcW w:w="3325" w:type="dxa"/>
          </w:tcPr>
          <w:p w:rsidR="002A4C73" w:rsidRPr="001B4E5C" w:rsidRDefault="00B153E5" w:rsidP="002A4C73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Открытое акционерное общество "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Сибтехэнерго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" - инженерная фирма по наладке, совершенствованию технологий и эксплуатации 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электро-энергооборудования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предприятий и систем</w:t>
            </w:r>
          </w:p>
        </w:tc>
        <w:tc>
          <w:tcPr>
            <w:tcW w:w="3260" w:type="dxa"/>
          </w:tcPr>
          <w:p w:rsidR="002A4C73" w:rsidRPr="001B4E5C" w:rsidRDefault="00B153E5" w:rsidP="002A4C7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630032, г. Новосибирск, ул. </w:t>
            </w:r>
            <w:proofErr w:type="gram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Планировочная</w:t>
            </w:r>
            <w:proofErr w:type="gram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,18/1</w:t>
            </w:r>
          </w:p>
        </w:tc>
      </w:tr>
    </w:tbl>
    <w:p w:rsidR="00B153E5" w:rsidRPr="001B4E5C" w:rsidRDefault="00B153E5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5971F0" w:rsidRPr="001B4E5C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1B4E5C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lastRenderedPageBreak/>
        <w:t>1) Цена договора – значимость 80 %;</w:t>
      </w:r>
    </w:p>
    <w:p w:rsidR="005971F0" w:rsidRPr="001B4E5C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>2) Качество работ и квалификация участника конкурса – значимость 20%.</w:t>
      </w:r>
    </w:p>
    <w:p w:rsidR="005971F0" w:rsidRPr="001B4E5C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1B4E5C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position w:val="-40"/>
          <w:sz w:val="19"/>
          <w:szCs w:val="19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46.95pt" o:ole="" fillcolor="window">
            <v:imagedata r:id="rId6" o:title=""/>
          </v:shape>
          <o:OLEObject Type="Embed" ProgID="Equation.3" ShapeID="_x0000_i1025" DrawAspect="Content" ObjectID="_1478327745" r:id="rId7"/>
        </w:objec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>, где:</w:t>
      </w:r>
    </w:p>
    <w:p w:rsidR="005971F0" w:rsidRPr="001B4E5C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position w:val="-18"/>
          <w:sz w:val="19"/>
          <w:szCs w:val="19"/>
        </w:rPr>
        <w:object w:dxaOrig="480" w:dyaOrig="420">
          <v:shape id="_x0000_i1026" type="#_x0000_t75" style="width:25.65pt;height:21.9pt" o:ole="" fillcolor="window">
            <v:imagedata r:id="rId8" o:title=""/>
          </v:shape>
          <o:OLEObject Type="Embed" ProgID="Equation.3" ShapeID="_x0000_i1026" DrawAspect="Content" ObjectID="_1478327746" r:id="rId9"/>
        </w:object>
      </w:r>
      <w:r w:rsidRPr="001B4E5C">
        <w:rPr>
          <w:rFonts w:ascii="Times New Roman" w:hAnsi="Times New Roman" w:cs="Times New Roman"/>
          <w:sz w:val="19"/>
          <w:szCs w:val="19"/>
        </w:rPr>
        <w:t> 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1B4E5C">
        <w:rPr>
          <w:rFonts w:ascii="Times New Roman" w:hAnsi="Times New Roman" w:cs="Times New Roman"/>
          <w:sz w:val="19"/>
          <w:szCs w:val="19"/>
        </w:rPr>
        <w:t> 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рейтинг, присуждаемый </w:t>
      </w:r>
      <w:proofErr w:type="spellStart"/>
      <w:r w:rsidRPr="001B4E5C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1B4E5C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критерию;</w:t>
      </w:r>
    </w:p>
    <w:p w:rsidR="005971F0" w:rsidRPr="001B4E5C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</w:rPr>
        <w:t>A</w:t>
      </w:r>
      <w:r w:rsidRPr="001B4E5C">
        <w:rPr>
          <w:rFonts w:ascii="Times New Roman" w:hAnsi="Times New Roman" w:cs="Times New Roman"/>
          <w:sz w:val="19"/>
          <w:szCs w:val="19"/>
          <w:vertAlign w:val="subscript"/>
        </w:rPr>
        <w:t>max</w:t>
      </w:r>
      <w:r w:rsidRPr="001B4E5C">
        <w:rPr>
          <w:rFonts w:ascii="Times New Roman" w:hAnsi="Times New Roman" w:cs="Times New Roman"/>
          <w:sz w:val="19"/>
          <w:szCs w:val="19"/>
        </w:rPr>
        <w:t> 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1B4E5C">
        <w:rPr>
          <w:rFonts w:ascii="Times New Roman" w:hAnsi="Times New Roman" w:cs="Times New Roman"/>
          <w:sz w:val="19"/>
          <w:szCs w:val="19"/>
        </w:rPr>
        <w:t> 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1B4E5C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</w:rPr>
        <w:t>A</w:t>
      </w:r>
      <w:r w:rsidRPr="001B4E5C">
        <w:rPr>
          <w:rFonts w:ascii="Times New Roman" w:hAnsi="Times New Roman" w:cs="Times New Roman"/>
          <w:sz w:val="19"/>
          <w:szCs w:val="19"/>
          <w:vertAlign w:val="subscript"/>
        </w:rPr>
        <w:t>i</w:t>
      </w:r>
      <w:r w:rsidRPr="001B4E5C">
        <w:rPr>
          <w:rFonts w:ascii="Times New Roman" w:hAnsi="Times New Roman" w:cs="Times New Roman"/>
          <w:sz w:val="19"/>
          <w:szCs w:val="19"/>
        </w:rPr>
        <w:t> 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1B4E5C">
        <w:rPr>
          <w:rFonts w:ascii="Times New Roman" w:hAnsi="Times New Roman" w:cs="Times New Roman"/>
          <w:sz w:val="19"/>
          <w:szCs w:val="19"/>
        </w:rPr>
        <w:t> 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предложение </w:t>
      </w:r>
      <w:proofErr w:type="spellStart"/>
      <w:r w:rsidRPr="001B4E5C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-го участника конкурса по цене договора </w:t>
      </w:r>
    </w:p>
    <w:p w:rsidR="00A51149" w:rsidRPr="001B4E5C" w:rsidRDefault="00A51149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1559"/>
        <w:gridCol w:w="1985"/>
        <w:gridCol w:w="2268"/>
        <w:gridCol w:w="2268"/>
      </w:tblGrid>
      <w:tr w:rsidR="00A51149" w:rsidRPr="001B4E5C" w:rsidTr="00B153E5">
        <w:trPr>
          <w:cantSplit/>
          <w:trHeight w:val="230"/>
        </w:trPr>
        <w:tc>
          <w:tcPr>
            <w:tcW w:w="425" w:type="dxa"/>
            <w:vMerge w:val="restart"/>
          </w:tcPr>
          <w:p w:rsidR="00A51149" w:rsidRPr="001B4E5C" w:rsidRDefault="00A51149" w:rsidP="0092434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№</w:t>
            </w:r>
          </w:p>
        </w:tc>
        <w:tc>
          <w:tcPr>
            <w:tcW w:w="1702" w:type="dxa"/>
            <w:vMerge w:val="restart"/>
          </w:tcPr>
          <w:p w:rsidR="00A51149" w:rsidRPr="001B4E5C" w:rsidRDefault="00A51149" w:rsidP="0092434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Критерий</w:t>
            </w:r>
          </w:p>
        </w:tc>
        <w:tc>
          <w:tcPr>
            <w:tcW w:w="8080" w:type="dxa"/>
            <w:gridSpan w:val="4"/>
          </w:tcPr>
          <w:p w:rsidR="00A51149" w:rsidRPr="001B4E5C" w:rsidRDefault="00A51149" w:rsidP="00924348">
            <w:pPr>
              <w:pStyle w:val="1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Оценка выполнения критерия</w:t>
            </w:r>
          </w:p>
        </w:tc>
      </w:tr>
      <w:tr w:rsidR="00A51149" w:rsidRPr="001B4E5C" w:rsidTr="00B153E5">
        <w:trPr>
          <w:cantSplit/>
          <w:trHeight w:val="230"/>
        </w:trPr>
        <w:tc>
          <w:tcPr>
            <w:tcW w:w="425" w:type="dxa"/>
            <w:vMerge/>
          </w:tcPr>
          <w:p w:rsidR="00A51149" w:rsidRPr="001B4E5C" w:rsidRDefault="00A51149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51149" w:rsidRPr="001B4E5C" w:rsidRDefault="00A51149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A51149" w:rsidRPr="001B4E5C" w:rsidRDefault="00A51149" w:rsidP="0092434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521" w:type="dxa"/>
            <w:gridSpan w:val="3"/>
          </w:tcPr>
          <w:p w:rsidR="00A51149" w:rsidRPr="001B4E5C" w:rsidRDefault="00A51149" w:rsidP="00924348">
            <w:pPr>
              <w:pStyle w:val="6"/>
              <w:framePr w:hSpace="0" w:wrap="auto" w:vAnchor="margin" w:hAnchor="text"/>
              <w:jc w:val="left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 xml:space="preserve">                                   Фактическое количество баллов</w:t>
            </w:r>
          </w:p>
        </w:tc>
      </w:tr>
      <w:tr w:rsidR="00B153E5" w:rsidRPr="00AB2F42" w:rsidTr="00B153E5">
        <w:trPr>
          <w:cantSplit/>
        </w:trPr>
        <w:tc>
          <w:tcPr>
            <w:tcW w:w="425" w:type="dxa"/>
            <w:vMerge/>
          </w:tcPr>
          <w:p w:rsidR="00B153E5" w:rsidRPr="001B4E5C" w:rsidRDefault="00B153E5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B153E5" w:rsidRPr="001B4E5C" w:rsidRDefault="00B153E5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B153E5" w:rsidRPr="001B4E5C" w:rsidRDefault="00B153E5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B153E5" w:rsidRPr="001B4E5C" w:rsidRDefault="00B153E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"ЭКСПЕРТЦЕНТР"</w:t>
            </w: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268" w:type="dxa"/>
          </w:tcPr>
          <w:p w:rsidR="00B153E5" w:rsidRPr="001B4E5C" w:rsidRDefault="00B153E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"МОНТАЖСИБСПЕЦ"</w:t>
            </w:r>
          </w:p>
        </w:tc>
        <w:tc>
          <w:tcPr>
            <w:tcW w:w="2268" w:type="dxa"/>
          </w:tcPr>
          <w:p w:rsidR="00B153E5" w:rsidRPr="001B4E5C" w:rsidRDefault="00B153E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Открытое акционерное общество "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Сибтехэнерго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" - инженерная фирма по наладке, совершенствованию технологий и эксплуатации 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электро-энергооборудования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предприятий и систем</w:t>
            </w:r>
          </w:p>
        </w:tc>
      </w:tr>
      <w:tr w:rsidR="00B153E5" w:rsidRPr="001B4E5C" w:rsidTr="00B153E5">
        <w:trPr>
          <w:cantSplit/>
        </w:trPr>
        <w:tc>
          <w:tcPr>
            <w:tcW w:w="425" w:type="dxa"/>
          </w:tcPr>
          <w:p w:rsidR="00B153E5" w:rsidRPr="001B4E5C" w:rsidRDefault="00B153E5" w:rsidP="00924348">
            <w:pPr>
              <w:pStyle w:val="2"/>
              <w:ind w:left="0"/>
              <w:jc w:val="right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1.</w:t>
            </w:r>
          </w:p>
        </w:tc>
        <w:tc>
          <w:tcPr>
            <w:tcW w:w="1702" w:type="dxa"/>
          </w:tcPr>
          <w:p w:rsidR="00B153E5" w:rsidRPr="001B4E5C" w:rsidRDefault="00B153E5" w:rsidP="00924348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  <w:r w:rsidRPr="001B4E5C">
              <w:rPr>
                <w:bCs/>
                <w:sz w:val="19"/>
                <w:szCs w:val="19"/>
              </w:rPr>
              <w:t>Цена Договора,  предложенная участником конкурса</w:t>
            </w:r>
          </w:p>
        </w:tc>
        <w:tc>
          <w:tcPr>
            <w:tcW w:w="1559" w:type="dxa"/>
            <w:vMerge w:val="restart"/>
          </w:tcPr>
          <w:p w:rsidR="00B153E5" w:rsidRPr="001B4E5C" w:rsidRDefault="00B153E5" w:rsidP="0072257B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</w:p>
          <w:p w:rsidR="00B153E5" w:rsidRPr="001B4E5C" w:rsidRDefault="00B153E5" w:rsidP="0072257B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895 568,42</w:t>
            </w:r>
          </w:p>
        </w:tc>
        <w:tc>
          <w:tcPr>
            <w:tcW w:w="1985" w:type="dxa"/>
          </w:tcPr>
          <w:p w:rsidR="00B153E5" w:rsidRPr="001B4E5C" w:rsidRDefault="00B153E5" w:rsidP="0072257B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545 000,00  руб.</w:t>
            </w:r>
          </w:p>
        </w:tc>
        <w:tc>
          <w:tcPr>
            <w:tcW w:w="2268" w:type="dxa"/>
          </w:tcPr>
          <w:p w:rsidR="00B153E5" w:rsidRPr="001B4E5C" w:rsidRDefault="00B153E5" w:rsidP="0072257B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880 000,00 руб.</w:t>
            </w:r>
          </w:p>
        </w:tc>
        <w:tc>
          <w:tcPr>
            <w:tcW w:w="2268" w:type="dxa"/>
          </w:tcPr>
          <w:p w:rsidR="00B153E5" w:rsidRPr="001B4E5C" w:rsidRDefault="00B153E5" w:rsidP="0072257B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886 728,32  руб.</w:t>
            </w:r>
          </w:p>
        </w:tc>
      </w:tr>
      <w:tr w:rsidR="00B153E5" w:rsidRPr="001B4E5C" w:rsidTr="00B153E5">
        <w:trPr>
          <w:cantSplit/>
        </w:trPr>
        <w:tc>
          <w:tcPr>
            <w:tcW w:w="425" w:type="dxa"/>
          </w:tcPr>
          <w:p w:rsidR="00B153E5" w:rsidRPr="001B4E5C" w:rsidRDefault="00B153E5" w:rsidP="00924348">
            <w:pPr>
              <w:pStyle w:val="2"/>
              <w:ind w:left="0"/>
              <w:jc w:val="right"/>
              <w:rPr>
                <w:bCs/>
                <w:sz w:val="19"/>
                <w:szCs w:val="19"/>
              </w:rPr>
            </w:pPr>
            <w:r w:rsidRPr="001B4E5C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1702" w:type="dxa"/>
          </w:tcPr>
          <w:p w:rsidR="00B153E5" w:rsidRPr="001B4E5C" w:rsidRDefault="00B153E5" w:rsidP="00924348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1B4E5C">
              <w:rPr>
                <w:bCs/>
                <w:sz w:val="19"/>
                <w:szCs w:val="19"/>
              </w:rPr>
              <w:t xml:space="preserve">Оценка </w:t>
            </w:r>
            <w:r w:rsidRPr="001B4E5C">
              <w:rPr>
                <w:sz w:val="19"/>
                <w:szCs w:val="19"/>
              </w:rPr>
              <w:t>заявок по критерию «Цена договора»</w:t>
            </w:r>
          </w:p>
        </w:tc>
        <w:tc>
          <w:tcPr>
            <w:tcW w:w="1559" w:type="dxa"/>
            <w:vMerge/>
          </w:tcPr>
          <w:p w:rsidR="00B153E5" w:rsidRPr="001B4E5C" w:rsidRDefault="00B153E5" w:rsidP="00924348">
            <w:pPr>
              <w:pStyle w:val="2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B153E5" w:rsidRPr="001B4E5C" w:rsidRDefault="00B153E5" w:rsidP="00924348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1B4E5C">
              <w:rPr>
                <w:b/>
                <w:bCs/>
                <w:sz w:val="19"/>
                <w:szCs w:val="19"/>
              </w:rPr>
              <w:t>39,14</w:t>
            </w:r>
          </w:p>
        </w:tc>
        <w:tc>
          <w:tcPr>
            <w:tcW w:w="2268" w:type="dxa"/>
          </w:tcPr>
          <w:p w:rsidR="00B153E5" w:rsidRPr="001B4E5C" w:rsidRDefault="00B153E5" w:rsidP="00924348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1B4E5C">
              <w:rPr>
                <w:b/>
                <w:bCs/>
                <w:sz w:val="19"/>
                <w:szCs w:val="19"/>
              </w:rPr>
              <w:t>1,74</w:t>
            </w:r>
          </w:p>
        </w:tc>
        <w:tc>
          <w:tcPr>
            <w:tcW w:w="2268" w:type="dxa"/>
          </w:tcPr>
          <w:p w:rsidR="00B153E5" w:rsidRPr="001B4E5C" w:rsidRDefault="00B153E5" w:rsidP="002A4C73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1B4E5C">
              <w:rPr>
                <w:b/>
                <w:bCs/>
                <w:sz w:val="19"/>
                <w:szCs w:val="19"/>
              </w:rPr>
              <w:t>0,99</w:t>
            </w:r>
          </w:p>
        </w:tc>
      </w:tr>
    </w:tbl>
    <w:p w:rsidR="00A51149" w:rsidRPr="001B4E5C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p w:rsidR="00A51149" w:rsidRPr="001B4E5C" w:rsidRDefault="00A51149" w:rsidP="00A51149">
      <w:pPr>
        <w:jc w:val="left"/>
        <w:rPr>
          <w:rFonts w:ascii="Times New Roman" w:hAnsi="Times New Roman" w:cs="Times New Roman"/>
          <w:position w:val="-12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position w:val="-12"/>
          <w:sz w:val="19"/>
          <w:szCs w:val="19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1B4E5C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b/>
          <w:sz w:val="19"/>
          <w:szCs w:val="19"/>
        </w:rPr>
        <w:t>R</w:t>
      </w:r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1B4E5C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>=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1B4E5C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1B4E5C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+ С </w:t>
      </w:r>
      <w:r w:rsidRPr="001B4E5C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1B4E5C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 +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1B4E5C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3</w:t>
      </w:r>
      <w:proofErr w:type="spellStart"/>
      <w:r w:rsidRPr="001B4E5C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 </w:t>
      </w:r>
    </w:p>
    <w:p w:rsidR="00A51149" w:rsidRPr="001B4E5C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>где</w:t>
      </w:r>
      <w:proofErr w:type="gramStart"/>
      <w:r w:rsidRPr="001B4E5C">
        <w:rPr>
          <w:rFonts w:ascii="Times New Roman" w:hAnsi="Times New Roman" w:cs="Times New Roman"/>
          <w:sz w:val="19"/>
          <w:szCs w:val="19"/>
          <w:lang w:val="ru-RU"/>
        </w:rPr>
        <w:t>:.</w:t>
      </w:r>
      <w:proofErr w:type="gramEnd"/>
    </w:p>
    <w:p w:rsidR="00A51149" w:rsidRPr="001B4E5C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b/>
          <w:sz w:val="19"/>
          <w:szCs w:val="19"/>
        </w:rPr>
        <w:t>R</w:t>
      </w:r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1B4E5C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– рейтинг, присуждаемый </w:t>
      </w:r>
      <w:proofErr w:type="spellStart"/>
      <w:r w:rsidRPr="001B4E5C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1B4E5C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 (сумма значений всех показателей не должна превышать 100 баллов); </w:t>
      </w:r>
    </w:p>
    <w:p w:rsidR="00A51149" w:rsidRPr="001B4E5C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1B4E5C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1B4E5C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,</w:t>
      </w:r>
      <w:r w:rsidRPr="001B4E5C">
        <w:rPr>
          <w:rFonts w:ascii="Times New Roman" w:hAnsi="Times New Roman" w:cs="Times New Roman"/>
          <w:sz w:val="19"/>
          <w:szCs w:val="19"/>
        </w:rPr>
        <w:t> 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1B4E5C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1B4E5C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, 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1B4E5C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3</w:t>
      </w:r>
      <w:proofErr w:type="spellStart"/>
      <w:r w:rsidRPr="001B4E5C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– значения в баллах, присуждаемые комиссией </w:t>
      </w:r>
      <w:proofErr w:type="spellStart"/>
      <w:r w:rsidRPr="001B4E5C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1B4E5C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заявке на участие в конкурсе по установленным показателям.</w:t>
      </w:r>
    </w:p>
    <w:p w:rsidR="00EB3321" w:rsidRPr="001B4E5C" w:rsidRDefault="00EB3321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2268"/>
        <w:gridCol w:w="2126"/>
        <w:gridCol w:w="2126"/>
        <w:gridCol w:w="1843"/>
      </w:tblGrid>
      <w:tr w:rsidR="006915A1" w:rsidRPr="001B4E5C" w:rsidTr="00EB3321">
        <w:trPr>
          <w:cantSplit/>
          <w:trHeight w:val="230"/>
        </w:trPr>
        <w:tc>
          <w:tcPr>
            <w:tcW w:w="425" w:type="dxa"/>
            <w:vMerge w:val="restart"/>
          </w:tcPr>
          <w:p w:rsidR="003C6982" w:rsidRPr="001B4E5C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№</w:t>
            </w:r>
          </w:p>
        </w:tc>
        <w:tc>
          <w:tcPr>
            <w:tcW w:w="1702" w:type="dxa"/>
            <w:vMerge w:val="restart"/>
          </w:tcPr>
          <w:p w:rsidR="003C6982" w:rsidRPr="001B4E5C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Критерий</w:t>
            </w:r>
          </w:p>
        </w:tc>
        <w:tc>
          <w:tcPr>
            <w:tcW w:w="8363" w:type="dxa"/>
            <w:gridSpan w:val="4"/>
          </w:tcPr>
          <w:p w:rsidR="003C6982" w:rsidRPr="001B4E5C" w:rsidRDefault="003C6982" w:rsidP="00471C8C">
            <w:pPr>
              <w:pStyle w:val="1"/>
              <w:jc w:val="left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 xml:space="preserve">                                        Оценка выполнения критерия</w:t>
            </w:r>
          </w:p>
        </w:tc>
      </w:tr>
      <w:tr w:rsidR="009F05DB" w:rsidRPr="001B4E5C" w:rsidTr="00EB3321">
        <w:trPr>
          <w:cantSplit/>
          <w:trHeight w:val="230"/>
        </w:trPr>
        <w:tc>
          <w:tcPr>
            <w:tcW w:w="425" w:type="dxa"/>
            <w:vMerge/>
          </w:tcPr>
          <w:p w:rsidR="003C6982" w:rsidRPr="001B4E5C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3C6982" w:rsidRPr="001B4E5C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</w:tcPr>
          <w:p w:rsidR="003C6982" w:rsidRPr="001B4E5C" w:rsidRDefault="003C6982" w:rsidP="00471C8C">
            <w:pPr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Максимальное</w:t>
            </w:r>
            <w:proofErr w:type="spellEnd"/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количество</w:t>
            </w:r>
            <w:proofErr w:type="spellEnd"/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баллов</w:t>
            </w:r>
            <w:proofErr w:type="spellEnd"/>
          </w:p>
        </w:tc>
        <w:tc>
          <w:tcPr>
            <w:tcW w:w="6095" w:type="dxa"/>
            <w:gridSpan w:val="3"/>
          </w:tcPr>
          <w:p w:rsidR="003C6982" w:rsidRPr="001B4E5C" w:rsidRDefault="003C6982" w:rsidP="00471C8C">
            <w:pPr>
              <w:pStyle w:val="6"/>
              <w:framePr w:hSpace="0" w:wrap="auto" w:vAnchor="margin" w:hAnchor="text"/>
              <w:jc w:val="left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Фактическое количество баллов</w:t>
            </w:r>
          </w:p>
        </w:tc>
      </w:tr>
      <w:tr w:rsidR="00B153E5" w:rsidRPr="00AB2F42" w:rsidTr="009F05DB">
        <w:trPr>
          <w:cantSplit/>
          <w:trHeight w:val="1543"/>
        </w:trPr>
        <w:tc>
          <w:tcPr>
            <w:tcW w:w="425" w:type="dxa"/>
            <w:vMerge/>
          </w:tcPr>
          <w:p w:rsidR="00B153E5" w:rsidRPr="001B4E5C" w:rsidRDefault="00B153E5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B153E5" w:rsidRPr="001B4E5C" w:rsidRDefault="00B153E5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B153E5" w:rsidRPr="001B4E5C" w:rsidRDefault="00B153E5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B153E5" w:rsidRPr="001B4E5C" w:rsidRDefault="00B153E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"ЭКСПЕРТЦЕНТР"</w:t>
            </w: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126" w:type="dxa"/>
          </w:tcPr>
          <w:p w:rsidR="00B153E5" w:rsidRPr="001B4E5C" w:rsidRDefault="00B153E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"МОНТАЖСИБСПЕЦ"</w:t>
            </w:r>
          </w:p>
        </w:tc>
        <w:tc>
          <w:tcPr>
            <w:tcW w:w="1843" w:type="dxa"/>
          </w:tcPr>
          <w:p w:rsidR="00B153E5" w:rsidRPr="001B4E5C" w:rsidRDefault="00B153E5" w:rsidP="0072257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Открытое акционерное общество "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Сибтехэнерго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" - инженерная фирма по наладке, совершенствованию технологий и эксплуатации 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электро-энергооборудования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предприятий и систем</w:t>
            </w:r>
          </w:p>
        </w:tc>
      </w:tr>
      <w:tr w:rsidR="00B153E5" w:rsidRPr="001B4E5C" w:rsidTr="009F05DB">
        <w:trPr>
          <w:cantSplit/>
        </w:trPr>
        <w:tc>
          <w:tcPr>
            <w:tcW w:w="425" w:type="dxa"/>
          </w:tcPr>
          <w:p w:rsidR="00B153E5" w:rsidRPr="001B4E5C" w:rsidRDefault="00B153E5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1.</w:t>
            </w:r>
          </w:p>
        </w:tc>
        <w:tc>
          <w:tcPr>
            <w:tcW w:w="1702" w:type="dxa"/>
          </w:tcPr>
          <w:p w:rsidR="00B153E5" w:rsidRPr="001B4E5C" w:rsidRDefault="00B153E5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1B4E5C">
              <w:rPr>
                <w:bCs/>
                <w:sz w:val="19"/>
                <w:szCs w:val="19"/>
              </w:rPr>
              <w:t xml:space="preserve">Оценка за </w:t>
            </w:r>
            <w:r w:rsidRPr="001B4E5C">
              <w:rPr>
                <w:sz w:val="19"/>
                <w:szCs w:val="19"/>
              </w:rPr>
              <w:t xml:space="preserve">положительную деловую репутацию участника конкурса </w:t>
            </w:r>
          </w:p>
        </w:tc>
        <w:tc>
          <w:tcPr>
            <w:tcW w:w="2268" w:type="dxa"/>
          </w:tcPr>
          <w:p w:rsidR="00B153E5" w:rsidRPr="001B4E5C" w:rsidRDefault="00B153E5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B153E5" w:rsidRPr="001B4E5C" w:rsidRDefault="00B153E5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30</w:t>
            </w:r>
          </w:p>
        </w:tc>
        <w:tc>
          <w:tcPr>
            <w:tcW w:w="2126" w:type="dxa"/>
          </w:tcPr>
          <w:p w:rsidR="00B153E5" w:rsidRPr="001B4E5C" w:rsidRDefault="00B153E5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30</w:t>
            </w:r>
          </w:p>
        </w:tc>
        <w:tc>
          <w:tcPr>
            <w:tcW w:w="1843" w:type="dxa"/>
          </w:tcPr>
          <w:p w:rsidR="00B153E5" w:rsidRPr="001B4E5C" w:rsidRDefault="00B153E5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5</w:t>
            </w:r>
          </w:p>
        </w:tc>
      </w:tr>
      <w:tr w:rsidR="00B153E5" w:rsidRPr="001B4E5C" w:rsidTr="009F05DB">
        <w:trPr>
          <w:cantSplit/>
          <w:trHeight w:val="1110"/>
        </w:trPr>
        <w:tc>
          <w:tcPr>
            <w:tcW w:w="425" w:type="dxa"/>
          </w:tcPr>
          <w:p w:rsidR="00B153E5" w:rsidRPr="001B4E5C" w:rsidRDefault="00B153E5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lastRenderedPageBreak/>
              <w:t>2.</w:t>
            </w:r>
          </w:p>
        </w:tc>
        <w:tc>
          <w:tcPr>
            <w:tcW w:w="1702" w:type="dxa"/>
          </w:tcPr>
          <w:p w:rsidR="00B153E5" w:rsidRPr="001B4E5C" w:rsidRDefault="00B153E5" w:rsidP="00B153E5">
            <w:pPr>
              <w:ind w:right="-123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Оценка за наличие у участника конкурса опыта выполнения аналогичных  работ не менее 3 лет </w:t>
            </w:r>
          </w:p>
        </w:tc>
        <w:tc>
          <w:tcPr>
            <w:tcW w:w="2268" w:type="dxa"/>
          </w:tcPr>
          <w:p w:rsidR="00B153E5" w:rsidRPr="001B4E5C" w:rsidRDefault="00B153E5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B153E5" w:rsidRPr="001B4E5C" w:rsidRDefault="00B153E5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40</w:t>
            </w:r>
          </w:p>
        </w:tc>
        <w:tc>
          <w:tcPr>
            <w:tcW w:w="2126" w:type="dxa"/>
          </w:tcPr>
          <w:p w:rsidR="00B153E5" w:rsidRPr="001B4E5C" w:rsidRDefault="00B153E5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25</w:t>
            </w:r>
          </w:p>
        </w:tc>
        <w:tc>
          <w:tcPr>
            <w:tcW w:w="1843" w:type="dxa"/>
          </w:tcPr>
          <w:p w:rsidR="00B153E5" w:rsidRPr="001B4E5C" w:rsidRDefault="00B153E5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25</w:t>
            </w:r>
          </w:p>
        </w:tc>
      </w:tr>
      <w:tr w:rsidR="00B153E5" w:rsidRPr="001B4E5C" w:rsidTr="009F05DB">
        <w:trPr>
          <w:cantSplit/>
          <w:trHeight w:val="220"/>
        </w:trPr>
        <w:tc>
          <w:tcPr>
            <w:tcW w:w="425" w:type="dxa"/>
          </w:tcPr>
          <w:p w:rsidR="00B153E5" w:rsidRPr="001B4E5C" w:rsidRDefault="00B153E5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3.</w:t>
            </w:r>
          </w:p>
        </w:tc>
        <w:tc>
          <w:tcPr>
            <w:tcW w:w="1702" w:type="dxa"/>
          </w:tcPr>
          <w:p w:rsidR="00B153E5" w:rsidRPr="001B4E5C" w:rsidRDefault="00B153E5" w:rsidP="00B153E5">
            <w:pPr>
              <w:ind w:right="-123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Наличие у сотрудников участника конкурса квалификации в соответствующей области </w:t>
            </w:r>
          </w:p>
        </w:tc>
        <w:tc>
          <w:tcPr>
            <w:tcW w:w="2268" w:type="dxa"/>
          </w:tcPr>
          <w:p w:rsidR="00B153E5" w:rsidRPr="001B4E5C" w:rsidRDefault="00B153E5" w:rsidP="00B153E5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B153E5" w:rsidRPr="001B4E5C" w:rsidRDefault="00B153E5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30</w:t>
            </w:r>
          </w:p>
        </w:tc>
        <w:tc>
          <w:tcPr>
            <w:tcW w:w="2126" w:type="dxa"/>
          </w:tcPr>
          <w:p w:rsidR="00B153E5" w:rsidRPr="001B4E5C" w:rsidRDefault="00B153E5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20</w:t>
            </w:r>
          </w:p>
        </w:tc>
        <w:tc>
          <w:tcPr>
            <w:tcW w:w="1843" w:type="dxa"/>
          </w:tcPr>
          <w:p w:rsidR="00B153E5" w:rsidRPr="001B4E5C" w:rsidRDefault="00B153E5" w:rsidP="00B153E5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1B4E5C">
              <w:rPr>
                <w:sz w:val="19"/>
                <w:szCs w:val="19"/>
              </w:rPr>
              <w:t>10</w:t>
            </w:r>
          </w:p>
        </w:tc>
      </w:tr>
      <w:tr w:rsidR="00EB3321" w:rsidRPr="001B4E5C" w:rsidTr="009F05DB">
        <w:trPr>
          <w:cantSplit/>
        </w:trPr>
        <w:tc>
          <w:tcPr>
            <w:tcW w:w="425" w:type="dxa"/>
          </w:tcPr>
          <w:p w:rsidR="002A4C73" w:rsidRPr="001B4E5C" w:rsidRDefault="002A4C73" w:rsidP="00471C8C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1B4E5C">
              <w:rPr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1702" w:type="dxa"/>
          </w:tcPr>
          <w:p w:rsidR="002A4C73" w:rsidRPr="001B4E5C" w:rsidRDefault="002A4C73" w:rsidP="00471C8C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1B4E5C">
              <w:rPr>
                <w:b/>
                <w:bCs/>
                <w:sz w:val="19"/>
                <w:szCs w:val="19"/>
              </w:rPr>
              <w:t>Итого по оценке за качество работ и квалификацию участника</w:t>
            </w:r>
          </w:p>
        </w:tc>
        <w:tc>
          <w:tcPr>
            <w:tcW w:w="2268" w:type="dxa"/>
          </w:tcPr>
          <w:p w:rsidR="002A4C73" w:rsidRPr="001B4E5C" w:rsidRDefault="002A4C73" w:rsidP="00471C8C">
            <w:pPr>
              <w:pStyle w:val="2"/>
              <w:ind w:left="0"/>
              <w:jc w:val="center"/>
              <w:rPr>
                <w:b/>
                <w:sz w:val="19"/>
                <w:szCs w:val="19"/>
              </w:rPr>
            </w:pPr>
            <w:r w:rsidRPr="001B4E5C">
              <w:rPr>
                <w:b/>
                <w:sz w:val="19"/>
                <w:szCs w:val="19"/>
              </w:rPr>
              <w:t>От 0 до 100 баллов</w:t>
            </w:r>
          </w:p>
        </w:tc>
        <w:tc>
          <w:tcPr>
            <w:tcW w:w="2126" w:type="dxa"/>
          </w:tcPr>
          <w:p w:rsidR="002A4C73" w:rsidRPr="001B4E5C" w:rsidRDefault="00B153E5" w:rsidP="00471C8C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1B4E5C"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2126" w:type="dxa"/>
          </w:tcPr>
          <w:p w:rsidR="002A4C73" w:rsidRPr="001B4E5C" w:rsidRDefault="00B153E5" w:rsidP="00471C8C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1B4E5C">
              <w:rPr>
                <w:b/>
                <w:bCs/>
                <w:sz w:val="19"/>
                <w:szCs w:val="19"/>
              </w:rPr>
              <w:t>75</w:t>
            </w:r>
          </w:p>
        </w:tc>
        <w:tc>
          <w:tcPr>
            <w:tcW w:w="1843" w:type="dxa"/>
          </w:tcPr>
          <w:p w:rsidR="002A4C73" w:rsidRPr="001B4E5C" w:rsidRDefault="001B4E5C" w:rsidP="002A4C73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1B4E5C">
              <w:rPr>
                <w:b/>
                <w:bCs/>
                <w:sz w:val="19"/>
                <w:szCs w:val="19"/>
              </w:rPr>
              <w:t>40</w:t>
            </w:r>
          </w:p>
        </w:tc>
      </w:tr>
    </w:tbl>
    <w:p w:rsidR="00471C8C" w:rsidRPr="001B4E5C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71C8C" w:rsidRPr="001B4E5C" w:rsidRDefault="00471C8C" w:rsidP="009F05DB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1B4E5C" w:rsidRDefault="00471C8C" w:rsidP="00247AB2">
      <w:pPr>
        <w:jc w:val="left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bCs/>
          <w:sz w:val="19"/>
          <w:szCs w:val="19"/>
          <w:lang w:val="ru-RU"/>
        </w:rPr>
        <w:t>Итоговое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Pr="001B4E5C" w:rsidRDefault="00471C8C" w:rsidP="00471C8C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margin" w:tblpXSpec="center" w:tblpY="4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410"/>
        <w:gridCol w:w="2552"/>
        <w:gridCol w:w="2126"/>
      </w:tblGrid>
      <w:tr w:rsidR="00247AB2" w:rsidRPr="001B4E5C" w:rsidTr="00247AB2">
        <w:trPr>
          <w:cantSplit/>
        </w:trPr>
        <w:tc>
          <w:tcPr>
            <w:tcW w:w="675" w:type="dxa"/>
            <w:vMerge w:val="restart"/>
          </w:tcPr>
          <w:p w:rsidR="00247AB2" w:rsidRPr="001B4E5C" w:rsidRDefault="00247AB2" w:rsidP="00247AB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47AB2" w:rsidRPr="001B4E5C" w:rsidRDefault="00247AB2" w:rsidP="00247AB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Наименование Участника конкурса</w:t>
            </w:r>
          </w:p>
        </w:tc>
        <w:tc>
          <w:tcPr>
            <w:tcW w:w="4962" w:type="dxa"/>
            <w:gridSpan w:val="2"/>
          </w:tcPr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Количество баллов по результатам оценки</w:t>
            </w:r>
          </w:p>
        </w:tc>
        <w:tc>
          <w:tcPr>
            <w:tcW w:w="2126" w:type="dxa"/>
            <w:vMerge w:val="restart"/>
          </w:tcPr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Итоговое количество баллов</w:t>
            </w:r>
          </w:p>
          <w:p w:rsidR="00247AB2" w:rsidRPr="001B4E5C" w:rsidRDefault="00247AB2" w:rsidP="00247AB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(0,8* 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Ra</w:t>
            </w:r>
            <w:r w:rsidRPr="001B4E5C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+0,2* </w:t>
            </w: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proofErr w:type="gram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proofErr w:type="spellStart"/>
            <w:proofErr w:type="gramEnd"/>
            <w:r w:rsidRPr="001B4E5C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  <w:tr w:rsidR="00247AB2" w:rsidRPr="00AB2F42" w:rsidTr="00247AB2">
        <w:trPr>
          <w:cantSplit/>
        </w:trPr>
        <w:tc>
          <w:tcPr>
            <w:tcW w:w="675" w:type="dxa"/>
            <w:vMerge/>
          </w:tcPr>
          <w:p w:rsidR="00247AB2" w:rsidRPr="001B4E5C" w:rsidRDefault="00247AB2" w:rsidP="00247AB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247AB2" w:rsidRPr="001B4E5C" w:rsidRDefault="00247AB2" w:rsidP="00247AB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10" w:type="dxa"/>
          </w:tcPr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Критерий «цена договора» значимость 80%</w:t>
            </w:r>
          </w:p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552" w:type="dxa"/>
          </w:tcPr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bCs/>
                <w:sz w:val="19"/>
                <w:szCs w:val="19"/>
                <w:lang w:val="ru-RU"/>
              </w:rPr>
              <w:t>Критерий «качество работ и квалификация участника»</w:t>
            </w: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значимость 20%</w:t>
            </w:r>
          </w:p>
        </w:tc>
        <w:tc>
          <w:tcPr>
            <w:tcW w:w="2126" w:type="dxa"/>
            <w:vMerge/>
          </w:tcPr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247AB2" w:rsidRPr="001B4E5C" w:rsidTr="00247AB2">
        <w:trPr>
          <w:cantSplit/>
        </w:trPr>
        <w:tc>
          <w:tcPr>
            <w:tcW w:w="675" w:type="dxa"/>
          </w:tcPr>
          <w:p w:rsidR="00247AB2" w:rsidRPr="001B4E5C" w:rsidRDefault="00247AB2" w:rsidP="00247AB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</w:tcPr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410" w:type="dxa"/>
          </w:tcPr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2" w:type="dxa"/>
          </w:tcPr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126" w:type="dxa"/>
          </w:tcPr>
          <w:p w:rsidR="00247AB2" w:rsidRPr="001B4E5C" w:rsidRDefault="00247AB2" w:rsidP="00247AB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1B4E5C" w:rsidRPr="001B4E5C" w:rsidTr="00247AB2">
        <w:trPr>
          <w:trHeight w:val="900"/>
        </w:trPr>
        <w:tc>
          <w:tcPr>
            <w:tcW w:w="675" w:type="dxa"/>
          </w:tcPr>
          <w:p w:rsidR="001B4E5C" w:rsidRPr="001B4E5C" w:rsidRDefault="001B4E5C" w:rsidP="00247AB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268" w:type="dxa"/>
          </w:tcPr>
          <w:p w:rsidR="001B4E5C" w:rsidRPr="001B4E5C" w:rsidRDefault="001B4E5C" w:rsidP="00247AB2">
            <w:pPr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"ЭКСПЕРТЦЕНТР"</w:t>
            </w: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410" w:type="dxa"/>
          </w:tcPr>
          <w:p w:rsidR="001B4E5C" w:rsidRPr="001B4E5C" w:rsidRDefault="001B4E5C" w:rsidP="0072257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39,14</w:t>
            </w:r>
          </w:p>
        </w:tc>
        <w:tc>
          <w:tcPr>
            <w:tcW w:w="2552" w:type="dxa"/>
          </w:tcPr>
          <w:p w:rsidR="001B4E5C" w:rsidRPr="001B4E5C" w:rsidRDefault="001B4E5C" w:rsidP="0072257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b/>
                <w:sz w:val="19"/>
                <w:szCs w:val="19"/>
              </w:rPr>
              <w:t>100</w:t>
            </w:r>
          </w:p>
        </w:tc>
        <w:tc>
          <w:tcPr>
            <w:tcW w:w="2126" w:type="dxa"/>
          </w:tcPr>
          <w:p w:rsidR="001B4E5C" w:rsidRPr="001B4E5C" w:rsidRDefault="001B4E5C" w:rsidP="0072257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b/>
                <w:sz w:val="19"/>
                <w:szCs w:val="19"/>
              </w:rPr>
              <w:t>51,31</w:t>
            </w:r>
          </w:p>
        </w:tc>
      </w:tr>
      <w:tr w:rsidR="001B4E5C" w:rsidRPr="001B4E5C" w:rsidTr="00247AB2">
        <w:trPr>
          <w:trHeight w:val="810"/>
        </w:trPr>
        <w:tc>
          <w:tcPr>
            <w:tcW w:w="675" w:type="dxa"/>
          </w:tcPr>
          <w:p w:rsidR="001B4E5C" w:rsidRPr="001B4E5C" w:rsidRDefault="001B4E5C" w:rsidP="00247AB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68" w:type="dxa"/>
          </w:tcPr>
          <w:p w:rsidR="001B4E5C" w:rsidRPr="001B4E5C" w:rsidRDefault="001B4E5C" w:rsidP="00247AB2">
            <w:pPr>
              <w:jc w:val="both"/>
              <w:rPr>
                <w:rFonts w:ascii="Times New Roman" w:hAnsi="Times New Roman" w:cs="Times New Roman"/>
                <w:color w:val="FF0000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"МОНТАЖСИБСПЕЦ"</w:t>
            </w:r>
          </w:p>
        </w:tc>
        <w:tc>
          <w:tcPr>
            <w:tcW w:w="2410" w:type="dxa"/>
          </w:tcPr>
          <w:p w:rsidR="001B4E5C" w:rsidRPr="001B4E5C" w:rsidRDefault="001B4E5C" w:rsidP="0072257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1,74</w:t>
            </w:r>
          </w:p>
        </w:tc>
        <w:tc>
          <w:tcPr>
            <w:tcW w:w="2552" w:type="dxa"/>
          </w:tcPr>
          <w:p w:rsidR="001B4E5C" w:rsidRPr="001B4E5C" w:rsidRDefault="001B4E5C" w:rsidP="0072257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b/>
                <w:sz w:val="19"/>
                <w:szCs w:val="19"/>
              </w:rPr>
              <w:t>75</w:t>
            </w:r>
          </w:p>
        </w:tc>
        <w:tc>
          <w:tcPr>
            <w:tcW w:w="2126" w:type="dxa"/>
          </w:tcPr>
          <w:p w:rsidR="001B4E5C" w:rsidRPr="001B4E5C" w:rsidRDefault="001B4E5C" w:rsidP="0072257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b/>
                <w:sz w:val="19"/>
                <w:szCs w:val="19"/>
              </w:rPr>
              <w:t>16,39</w:t>
            </w:r>
          </w:p>
        </w:tc>
      </w:tr>
      <w:tr w:rsidR="001B4E5C" w:rsidRPr="001B4E5C" w:rsidTr="00247AB2">
        <w:trPr>
          <w:trHeight w:val="279"/>
        </w:trPr>
        <w:tc>
          <w:tcPr>
            <w:tcW w:w="675" w:type="dxa"/>
          </w:tcPr>
          <w:p w:rsidR="001B4E5C" w:rsidRPr="001B4E5C" w:rsidRDefault="001B4E5C" w:rsidP="00247AB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3.</w:t>
            </w:r>
          </w:p>
        </w:tc>
        <w:tc>
          <w:tcPr>
            <w:tcW w:w="2268" w:type="dxa"/>
          </w:tcPr>
          <w:p w:rsidR="001B4E5C" w:rsidRPr="001B4E5C" w:rsidRDefault="001B4E5C" w:rsidP="00247AB2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Открытое акционерное общество "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Сибтехэнерго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" - инженерная фирма по наладке, совершенствованию технологий и эксплуатации </w:t>
            </w: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электро-энергооборудования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предприятий и систем</w:t>
            </w:r>
          </w:p>
        </w:tc>
        <w:tc>
          <w:tcPr>
            <w:tcW w:w="2410" w:type="dxa"/>
          </w:tcPr>
          <w:p w:rsidR="001B4E5C" w:rsidRPr="001B4E5C" w:rsidRDefault="001B4E5C" w:rsidP="0072257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0,99</w:t>
            </w:r>
          </w:p>
        </w:tc>
        <w:tc>
          <w:tcPr>
            <w:tcW w:w="2552" w:type="dxa"/>
          </w:tcPr>
          <w:p w:rsidR="001B4E5C" w:rsidRPr="001B4E5C" w:rsidRDefault="001B4E5C" w:rsidP="0072257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b/>
                <w:sz w:val="19"/>
                <w:szCs w:val="19"/>
              </w:rPr>
              <w:t>40</w:t>
            </w:r>
          </w:p>
        </w:tc>
        <w:tc>
          <w:tcPr>
            <w:tcW w:w="2126" w:type="dxa"/>
          </w:tcPr>
          <w:p w:rsidR="001B4E5C" w:rsidRPr="001B4E5C" w:rsidRDefault="001B4E5C" w:rsidP="0072257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E5C">
              <w:rPr>
                <w:rFonts w:ascii="Times New Roman" w:hAnsi="Times New Roman" w:cs="Times New Roman"/>
                <w:b/>
                <w:sz w:val="19"/>
                <w:szCs w:val="19"/>
              </w:rPr>
              <w:t>8,79</w:t>
            </w:r>
          </w:p>
        </w:tc>
      </w:tr>
    </w:tbl>
    <w:p w:rsidR="00471C8C" w:rsidRPr="001B4E5C" w:rsidRDefault="00471C8C" w:rsidP="00471C8C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  <w:proofErr w:type="spellStart"/>
      <w:r w:rsidRPr="001B4E5C">
        <w:rPr>
          <w:rFonts w:ascii="Times New Roman" w:hAnsi="Times New Roman" w:cs="Times New Roman"/>
          <w:b/>
          <w:sz w:val="19"/>
          <w:szCs w:val="19"/>
        </w:rPr>
        <w:t>K</w:t>
      </w:r>
      <w:r w:rsidRPr="001B4E5C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>= 0</w:t>
      </w:r>
      <w:proofErr w:type="gramStart"/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>,8</w:t>
      </w:r>
      <w:proofErr w:type="gramEnd"/>
      <w:r w:rsidRPr="001B4E5C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1B4E5C">
        <w:rPr>
          <w:rFonts w:ascii="Times New Roman" w:hAnsi="Times New Roman" w:cs="Times New Roman"/>
          <w:b/>
          <w:sz w:val="19"/>
          <w:szCs w:val="19"/>
        </w:rPr>
        <w:t>Ra</w:t>
      </w:r>
      <w:r w:rsidRPr="001B4E5C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1B4E5C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>+ 0,2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1B4E5C">
        <w:rPr>
          <w:rFonts w:ascii="Times New Roman" w:hAnsi="Times New Roman" w:cs="Times New Roman"/>
          <w:b/>
          <w:sz w:val="19"/>
          <w:szCs w:val="19"/>
        </w:rPr>
        <w:t>R</w:t>
      </w:r>
      <w:r w:rsidRPr="001B4E5C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1B4E5C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</w:p>
    <w:p w:rsidR="00EF07ED" w:rsidRPr="001B4E5C" w:rsidRDefault="00471C8C" w:rsidP="00EF07ED">
      <w:pPr>
        <w:suppressAutoHyphens/>
        <w:overflowPunct w:val="0"/>
        <w:textAlignment w:val="baseline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4767D8" w:rsidRPr="001B4E5C" w:rsidRDefault="004767D8" w:rsidP="006915A1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915A1" w:rsidRPr="001B4E5C" w:rsidRDefault="000E7F4F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b/>
          <w:sz w:val="19"/>
          <w:szCs w:val="19"/>
          <w:lang w:val="ru-RU" w:eastAsia="ru-RU"/>
        </w:rPr>
        <w:t>Единой комиссией единогласно принято решение</w:t>
      </w:r>
      <w:r w:rsidR="006915A1" w:rsidRPr="001B4E5C">
        <w:rPr>
          <w:rFonts w:ascii="Times New Roman" w:hAnsi="Times New Roman" w:cs="Times New Roman"/>
          <w:b/>
          <w:sz w:val="19"/>
          <w:szCs w:val="19"/>
          <w:lang w:val="ru-RU" w:eastAsia="ru-RU"/>
        </w:rPr>
        <w:t>:</w:t>
      </w:r>
      <w:r w:rsidR="006915A1"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6915A1" w:rsidRPr="001B4E5C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1B4E5C" w:rsidRDefault="00EF07ED" w:rsidP="00247AB2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1B4E5C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E387F"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1B4E5C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1B4E5C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F05DB" w:rsidRPr="001B4E5C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2.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1B4E5C" w:rsidRPr="001B4E5C">
        <w:rPr>
          <w:rFonts w:ascii="Times New Roman" w:hAnsi="Times New Roman" w:cs="Times New Roman"/>
          <w:sz w:val="19"/>
          <w:szCs w:val="19"/>
          <w:lang w:val="ru-RU"/>
        </w:rPr>
        <w:t>Общество с ограниченной ответственностью "ЭКСПЕРТЦЕНТР"</w:t>
      </w:r>
      <w:r w:rsidR="001B4E5C" w:rsidRPr="001B4E5C">
        <w:rPr>
          <w:rFonts w:ascii="Times New Roman" w:hAnsi="Times New Roman" w:cs="Times New Roman"/>
          <w:sz w:val="19"/>
          <w:szCs w:val="19"/>
        </w:rPr>
        <w:t> </w:t>
      </w:r>
    </w:p>
    <w:p w:rsidR="00EF07ED" w:rsidRPr="001B4E5C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1B4E5C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1B4E5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0F73B3" w:rsidRPr="001B4E5C" w:rsidRDefault="000F73B3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9F05DB" w:rsidRPr="001B4E5C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3.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Второй порядковый номер присвоить заявке – </w:t>
      </w:r>
      <w:r w:rsidR="001B4E5C" w:rsidRPr="001B4E5C">
        <w:rPr>
          <w:rFonts w:ascii="Times New Roman" w:hAnsi="Times New Roman" w:cs="Times New Roman"/>
          <w:sz w:val="19"/>
          <w:szCs w:val="19"/>
          <w:lang w:val="ru-RU"/>
        </w:rPr>
        <w:t>Общество с ограниченной ответственностью "МОНТАЖСИБСПЕЦ"</w:t>
      </w:r>
    </w:p>
    <w:p w:rsidR="00EF07ED" w:rsidRPr="001B4E5C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1B4E5C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9F05DB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1B4E5C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9F05DB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,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1B4E5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1B4E5C" w:rsidRDefault="00EF07ED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A12B5" w:rsidRPr="00D71890" w:rsidRDefault="00EF07ED" w:rsidP="00247AB2">
      <w:pPr>
        <w:widowControl w:val="0"/>
        <w:tabs>
          <w:tab w:val="left" w:pos="123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D7189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Признать открытый конкурс </w:t>
      </w:r>
      <w:r w:rsidRPr="00D71890">
        <w:rPr>
          <w:rFonts w:ascii="Times New Roman" w:hAnsi="Times New Roman" w:cs="Times New Roman"/>
          <w:iCs/>
          <w:sz w:val="19"/>
          <w:szCs w:val="19"/>
          <w:lang w:val="ru-RU" w:eastAsia="ru-RU"/>
        </w:rPr>
        <w:t>в электронной форме</w:t>
      </w:r>
      <w:r w:rsidRPr="00D71890">
        <w:rPr>
          <w:rFonts w:ascii="Times New Roman" w:hAnsi="Times New Roman" w:cs="Times New Roman"/>
          <w:i/>
          <w:iCs/>
          <w:sz w:val="19"/>
          <w:szCs w:val="19"/>
          <w:lang w:val="ru-RU" w:eastAsia="ru-RU"/>
        </w:rPr>
        <w:t xml:space="preserve"> </w:t>
      </w:r>
      <w:r w:rsidRPr="00D7189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состоявшимся. Заключить с </w:t>
      </w:r>
      <w:r w:rsidR="001B4E5C" w:rsidRPr="00D71890">
        <w:rPr>
          <w:rFonts w:ascii="Times New Roman" w:hAnsi="Times New Roman" w:cs="Times New Roman"/>
          <w:sz w:val="19"/>
          <w:szCs w:val="19"/>
          <w:lang w:val="ru-RU"/>
        </w:rPr>
        <w:t>Обществом с ограниченной ответственностью "ЭКСПЕРТЦЕНТР"</w:t>
      </w:r>
      <w:r w:rsidR="001B4E5C" w:rsidRPr="00D71890">
        <w:rPr>
          <w:rFonts w:ascii="Times New Roman" w:hAnsi="Times New Roman" w:cs="Times New Roman"/>
          <w:sz w:val="19"/>
          <w:szCs w:val="19"/>
        </w:rPr>
        <w:t> </w:t>
      </w:r>
      <w:r w:rsidR="00C04A1D" w:rsidRPr="00D71890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D7189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Договор на </w:t>
      </w:r>
      <w:r w:rsidR="001B4E5C" w:rsidRPr="00D71890">
        <w:rPr>
          <w:rFonts w:ascii="Times New Roman" w:hAnsi="Times New Roman" w:cs="Times New Roman"/>
          <w:sz w:val="19"/>
          <w:szCs w:val="19"/>
          <w:lang w:val="ru-RU"/>
        </w:rPr>
        <w:t xml:space="preserve">диагностику несущих конструкций и геодезические наблюдения за осадками и деформацией каркаса подвальной части корпуса №21 в осях </w:t>
      </w:r>
      <w:proofErr w:type="gramStart"/>
      <w:r w:rsidR="001B4E5C" w:rsidRPr="00D71890">
        <w:rPr>
          <w:rFonts w:ascii="Times New Roman" w:hAnsi="Times New Roman" w:cs="Times New Roman"/>
          <w:sz w:val="19"/>
          <w:szCs w:val="19"/>
          <w:lang w:val="ru-RU"/>
        </w:rPr>
        <w:t>А-Д</w:t>
      </w:r>
      <w:proofErr w:type="gramEnd"/>
      <w:r w:rsidR="001B4E5C" w:rsidRPr="00D71890">
        <w:rPr>
          <w:rFonts w:ascii="Times New Roman" w:hAnsi="Times New Roman" w:cs="Times New Roman"/>
          <w:sz w:val="19"/>
          <w:szCs w:val="19"/>
          <w:lang w:val="ru-RU"/>
        </w:rPr>
        <w:t>/1-2</w:t>
      </w:r>
      <w:r w:rsidR="00D71890" w:rsidRPr="00D71890">
        <w:rPr>
          <w:rFonts w:ascii="Times New Roman" w:hAnsi="Times New Roman" w:cs="Times New Roman"/>
          <w:sz w:val="19"/>
          <w:szCs w:val="19"/>
          <w:lang w:val="ru-RU"/>
        </w:rPr>
        <w:t xml:space="preserve"> на сумму 545</w:t>
      </w:r>
      <w:r w:rsidR="00D71890" w:rsidRPr="00D71890">
        <w:rPr>
          <w:rFonts w:ascii="Times New Roman" w:hAnsi="Times New Roman" w:cs="Times New Roman"/>
          <w:sz w:val="19"/>
          <w:szCs w:val="19"/>
        </w:rPr>
        <w:t> </w:t>
      </w:r>
      <w:r w:rsidR="00D71890" w:rsidRPr="00D71890">
        <w:rPr>
          <w:rFonts w:ascii="Times New Roman" w:hAnsi="Times New Roman" w:cs="Times New Roman"/>
          <w:sz w:val="19"/>
          <w:szCs w:val="19"/>
          <w:lang w:val="ru-RU"/>
        </w:rPr>
        <w:t xml:space="preserve">000 </w:t>
      </w:r>
      <w:r w:rsidR="00D71890" w:rsidRPr="00D71890">
        <w:rPr>
          <w:rFonts w:ascii="Times New Roman" w:hAnsi="Times New Roman" w:cs="Times New Roman"/>
          <w:sz w:val="19"/>
          <w:szCs w:val="19"/>
          <w:lang w:val="ru-RU"/>
        </w:rPr>
        <w:lastRenderedPageBreak/>
        <w:t>(Пятьсот сорок пять тысяч) рублей 00 копеек.</w:t>
      </w:r>
    </w:p>
    <w:p w:rsidR="002A12B5" w:rsidRPr="001B4E5C" w:rsidRDefault="002A12B5" w:rsidP="002A12B5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1B4E5C" w:rsidRDefault="00AE387F" w:rsidP="00AE387F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На основании п.13.1 конкурсной документации Договор может быть заключен не ранее чем через </w:t>
      </w:r>
      <w:r w:rsidR="001B4E5C" w:rsidRPr="001B4E5C">
        <w:rPr>
          <w:rFonts w:ascii="Times New Roman" w:hAnsi="Times New Roman" w:cs="Times New Roman"/>
          <w:sz w:val="19"/>
          <w:szCs w:val="19"/>
          <w:lang w:val="ru-RU"/>
        </w:rPr>
        <w:t>10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 xml:space="preserve"> и не позднее чем че</w:t>
      </w:r>
      <w:r w:rsidR="001B4E5C" w:rsidRPr="001B4E5C">
        <w:rPr>
          <w:rFonts w:ascii="Times New Roman" w:hAnsi="Times New Roman" w:cs="Times New Roman"/>
          <w:sz w:val="19"/>
          <w:szCs w:val="19"/>
          <w:lang w:val="ru-RU"/>
        </w:rPr>
        <w:t>рез 20 дней со дня размещения в ЕИС</w:t>
      </w:r>
      <w:r w:rsidRPr="001B4E5C">
        <w:rPr>
          <w:rFonts w:ascii="Times New Roman" w:hAnsi="Times New Roman" w:cs="Times New Roman"/>
          <w:sz w:val="19"/>
          <w:szCs w:val="19"/>
          <w:lang w:val="ru-RU"/>
        </w:rPr>
        <w:t>, Электронной площадке и сайте Заказчика протокола оценки и сопоставления заявок на участие в конкурсе.</w:t>
      </w:r>
      <w:r w:rsidR="00EF07ED"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EF07ED" w:rsidRPr="001B4E5C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D71890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>, «Против» -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</w:t>
      </w:r>
      <w:r w:rsidR="00D71890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E387F" w:rsidRPr="001B4E5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«Воздержались» </w:t>
      </w:r>
      <w:r w:rsidR="00C04A1D" w:rsidRPr="001B4E5C">
        <w:rPr>
          <w:rFonts w:ascii="Times New Roman" w:hAnsi="Times New Roman" w:cs="Times New Roman"/>
          <w:sz w:val="19"/>
          <w:szCs w:val="19"/>
          <w:lang w:val="ru-RU" w:eastAsia="ru-RU"/>
        </w:rPr>
        <w:t>-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D71890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1B4E5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r w:rsidR="00C04A1D" w:rsidRPr="001B4E5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</w:p>
    <w:p w:rsidR="00EF07ED" w:rsidRPr="001B4E5C" w:rsidRDefault="00EF07ED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E7F4F" w:rsidRPr="001B4E5C" w:rsidRDefault="000E7F4F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1B4E5C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                                                 </w:t>
      </w:r>
    </w:p>
    <w:p w:rsidR="005E6119" w:rsidRPr="001B4E5C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B4E5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Состав Единой комиссии</w:t>
      </w:r>
    </w:p>
    <w:p w:rsidR="005E6119" w:rsidRPr="001B4E5C" w:rsidRDefault="005E6119" w:rsidP="0092561B">
      <w:pPr>
        <w:widowControl w:val="0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Style w:val="a4"/>
        <w:tblW w:w="9899" w:type="dxa"/>
        <w:tblInd w:w="6" w:type="dxa"/>
        <w:tblLook w:val="04A0"/>
      </w:tblPr>
      <w:tblGrid>
        <w:gridCol w:w="3107"/>
        <w:gridCol w:w="3679"/>
        <w:gridCol w:w="3113"/>
      </w:tblGrid>
      <w:tr w:rsidR="005E6119" w:rsidRPr="001B4E5C" w:rsidTr="002A12B5">
        <w:tc>
          <w:tcPr>
            <w:tcW w:w="3107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</w:tc>
        <w:tc>
          <w:tcPr>
            <w:tcW w:w="3679" w:type="dxa"/>
          </w:tcPr>
          <w:p w:rsidR="005E6119" w:rsidRPr="001B4E5C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  <w:tc>
          <w:tcPr>
            <w:tcW w:w="3113" w:type="dxa"/>
          </w:tcPr>
          <w:p w:rsidR="005E611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AB2F42" w:rsidRPr="001B4E5C" w:rsidRDefault="00AB2F4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1B4E5C" w:rsidTr="002A12B5">
        <w:tc>
          <w:tcPr>
            <w:tcW w:w="3107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79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1B4E5C" w:rsidTr="009F05DB">
        <w:trPr>
          <w:trHeight w:val="237"/>
        </w:trPr>
        <w:tc>
          <w:tcPr>
            <w:tcW w:w="3107" w:type="dxa"/>
          </w:tcPr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D25082" w:rsidRPr="001B4E5C" w:rsidRDefault="001B4E5C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  <w:p w:rsidR="009F05DB" w:rsidRPr="001B4E5C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F05DB" w:rsidRPr="001B4E5C" w:rsidTr="002A12B5">
        <w:trPr>
          <w:trHeight w:val="589"/>
        </w:trPr>
        <w:tc>
          <w:tcPr>
            <w:tcW w:w="3107" w:type="dxa"/>
          </w:tcPr>
          <w:p w:rsidR="009F05DB" w:rsidRPr="001B4E5C" w:rsidRDefault="009F05DB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9F05DB" w:rsidRPr="001B4E5C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9F05DB" w:rsidRPr="001B4E5C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9F05DB" w:rsidRPr="001B4E5C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1B4E5C" w:rsidTr="002A12B5">
        <w:tc>
          <w:tcPr>
            <w:tcW w:w="3107" w:type="dxa"/>
          </w:tcPr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D25082" w:rsidRPr="001B4E5C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</w:t>
            </w:r>
            <w:r w:rsidR="009F05DB"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</w:t>
            </w: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я </w:t>
            </w:r>
          </w:p>
          <w:p w:rsidR="005E6119" w:rsidRPr="001B4E5C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Васильевна</w:t>
            </w:r>
          </w:p>
        </w:tc>
        <w:tc>
          <w:tcPr>
            <w:tcW w:w="3113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1B4E5C" w:rsidTr="002A12B5">
        <w:tc>
          <w:tcPr>
            <w:tcW w:w="3107" w:type="dxa"/>
          </w:tcPr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1B4E5C" w:rsidTr="002A12B5">
        <w:tc>
          <w:tcPr>
            <w:tcW w:w="3107" w:type="dxa"/>
          </w:tcPr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5E6119" w:rsidRPr="001B4E5C" w:rsidRDefault="001B4E5C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</w:tc>
        <w:tc>
          <w:tcPr>
            <w:tcW w:w="3113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2D2A77" w:rsidRPr="001B4E5C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1B4E5C" w:rsidTr="002A12B5">
        <w:tc>
          <w:tcPr>
            <w:tcW w:w="3107" w:type="dxa"/>
          </w:tcPr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79" w:type="dxa"/>
          </w:tcPr>
          <w:p w:rsidR="005E6119" w:rsidRPr="001B4E5C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E6119" w:rsidRPr="001B4E5C" w:rsidTr="002A12B5">
        <w:tc>
          <w:tcPr>
            <w:tcW w:w="3107" w:type="dxa"/>
          </w:tcPr>
          <w:p w:rsidR="005E6119" w:rsidRPr="001B4E5C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679" w:type="dxa"/>
          </w:tcPr>
          <w:p w:rsidR="005E6119" w:rsidRPr="001B4E5C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B4E5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  <w:p w:rsidR="009F05DB" w:rsidRPr="001B4E5C" w:rsidRDefault="009F05DB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113" w:type="dxa"/>
          </w:tcPr>
          <w:p w:rsidR="005E6119" w:rsidRPr="001B4E5C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E136F0" w:rsidRDefault="00E136F0"/>
    <w:sectPr w:rsidR="00E136F0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119"/>
    <w:rsid w:val="00043ECB"/>
    <w:rsid w:val="00091D99"/>
    <w:rsid w:val="000D1459"/>
    <w:rsid w:val="000E7F4F"/>
    <w:rsid w:val="000F73B3"/>
    <w:rsid w:val="00125CDD"/>
    <w:rsid w:val="0012604B"/>
    <w:rsid w:val="0013195E"/>
    <w:rsid w:val="001B4E5C"/>
    <w:rsid w:val="001E172F"/>
    <w:rsid w:val="001E40D4"/>
    <w:rsid w:val="001F4562"/>
    <w:rsid w:val="002043C1"/>
    <w:rsid w:val="00247AB2"/>
    <w:rsid w:val="00297AE3"/>
    <w:rsid w:val="002A12B5"/>
    <w:rsid w:val="002A4C73"/>
    <w:rsid w:val="002D2A77"/>
    <w:rsid w:val="002E75FC"/>
    <w:rsid w:val="003C6982"/>
    <w:rsid w:val="00471C8C"/>
    <w:rsid w:val="004767D8"/>
    <w:rsid w:val="004C165D"/>
    <w:rsid w:val="004D7470"/>
    <w:rsid w:val="005971F0"/>
    <w:rsid w:val="005E6119"/>
    <w:rsid w:val="00645ADA"/>
    <w:rsid w:val="006915A1"/>
    <w:rsid w:val="008251D3"/>
    <w:rsid w:val="008530B6"/>
    <w:rsid w:val="008775E2"/>
    <w:rsid w:val="00883F1A"/>
    <w:rsid w:val="008862D2"/>
    <w:rsid w:val="008A1C4C"/>
    <w:rsid w:val="009072B5"/>
    <w:rsid w:val="00911464"/>
    <w:rsid w:val="0092561B"/>
    <w:rsid w:val="009F05DB"/>
    <w:rsid w:val="009F2787"/>
    <w:rsid w:val="00A03DF0"/>
    <w:rsid w:val="00A4123A"/>
    <w:rsid w:val="00A51149"/>
    <w:rsid w:val="00A54383"/>
    <w:rsid w:val="00AB2F42"/>
    <w:rsid w:val="00AE387F"/>
    <w:rsid w:val="00B153E5"/>
    <w:rsid w:val="00B45B48"/>
    <w:rsid w:val="00B55C54"/>
    <w:rsid w:val="00BC0AEC"/>
    <w:rsid w:val="00C01797"/>
    <w:rsid w:val="00C04A1D"/>
    <w:rsid w:val="00C25447"/>
    <w:rsid w:val="00C25F9F"/>
    <w:rsid w:val="00CA59EB"/>
    <w:rsid w:val="00D05798"/>
    <w:rsid w:val="00D25082"/>
    <w:rsid w:val="00D71890"/>
    <w:rsid w:val="00D76E7E"/>
    <w:rsid w:val="00DB03E2"/>
    <w:rsid w:val="00DB6A7B"/>
    <w:rsid w:val="00DE5692"/>
    <w:rsid w:val="00DF43E4"/>
    <w:rsid w:val="00E136F0"/>
    <w:rsid w:val="00E316F3"/>
    <w:rsid w:val="00E75FA6"/>
    <w:rsid w:val="00EB3321"/>
    <w:rsid w:val="00ED714F"/>
    <w:rsid w:val="00EF07ED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153E5"/>
    <w:pPr>
      <w:keepNext/>
      <w:framePr w:hSpace="180" w:wrap="around" w:vAnchor="text" w:hAnchor="margin"/>
      <w:jc w:val="left"/>
      <w:outlineLvl w:val="3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character" w:customStyle="1" w:styleId="40">
    <w:name w:val="Заголовок 4 Знак"/>
    <w:basedOn w:val="a0"/>
    <w:link w:val="4"/>
    <w:rsid w:val="00B153E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370B-69A0-4FCA-A28A-2A1D8E21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23</cp:revision>
  <cp:lastPrinted>2014-11-20T11:39:00Z</cp:lastPrinted>
  <dcterms:created xsi:type="dcterms:W3CDTF">2013-07-03T08:08:00Z</dcterms:created>
  <dcterms:modified xsi:type="dcterms:W3CDTF">2014-11-24T03:49:00Z</dcterms:modified>
</cp:coreProperties>
</file>