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проведени</w:t>
      </w:r>
      <w:r w:rsidR="00EB5E90" w:rsidRPr="005429F3">
        <w:rPr>
          <w:b/>
        </w:rPr>
        <w:t>и</w:t>
      </w:r>
      <w:r w:rsidRPr="005429F3">
        <w:rPr>
          <w:b/>
        </w:rPr>
        <w:t xml:space="preserve"> аукциона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Планетная,32,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r w:rsidRPr="005429F3">
              <w:rPr>
                <w:lang w:val="en-US"/>
              </w:rPr>
              <w:t>komintern</w:t>
            </w:r>
            <w:r w:rsidRPr="005429F3">
              <w:t>.</w:t>
            </w:r>
            <w:r w:rsidRPr="005429F3">
              <w:rPr>
                <w:lang w:val="en-US"/>
              </w:rPr>
              <w:t>ru</w:t>
            </w:r>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6C04BF" w:rsidP="006C04BF">
            <w:pPr>
              <w:jc w:val="both"/>
            </w:pPr>
            <w:r>
              <w:t>Маслов Александр Васильевич</w:t>
            </w:r>
            <w:r w:rsidR="00BB3491" w:rsidRPr="005429F3">
              <w:t xml:space="preserve"> тел: </w:t>
            </w:r>
            <w:r>
              <w:t>279-13-79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r w:rsidR="00DC4AF7" w:rsidRPr="005429F3">
        <w:t>копировально-множительной техники</w:t>
      </w:r>
      <w:r w:rsidR="004479AB">
        <w:t xml:space="preserve"> для подразделений организации</w:t>
      </w:r>
      <w:r w:rsidR="00DC4AF7" w:rsidRPr="005429F3">
        <w:t>,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г. Новосибирск, ул. Планетная,</w:t>
      </w:r>
      <w:r w:rsidR="005429F3">
        <w:t xml:space="preserve"> </w:t>
      </w:r>
      <w:r w:rsidR="00DC4AF7" w:rsidRPr="005429F3">
        <w:t xml:space="preserve">32 </w:t>
      </w:r>
      <w:r w:rsidR="00425F62">
        <w:t>и г. Новосибирск, М. Горького, 78</w:t>
      </w:r>
    </w:p>
    <w:p w:rsidR="00575F4C" w:rsidRPr="005429F3" w:rsidRDefault="00575F4C" w:rsidP="00BB3491">
      <w:pPr>
        <w:jc w:val="both"/>
      </w:pPr>
      <w:r w:rsidRPr="005429F3">
        <w:t>Дата, время</w:t>
      </w:r>
      <w:r w:rsidR="00425F62">
        <w:t xml:space="preserve">, место </w:t>
      </w:r>
      <w:r w:rsidR="00EA63E8">
        <w:t>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позднее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A76220">
        <w:rPr>
          <w:bCs/>
        </w:rPr>
        <w:t>25</w:t>
      </w:r>
      <w:r w:rsidR="00ED540E" w:rsidRPr="005429F3">
        <w:rPr>
          <w:bCs/>
        </w:rPr>
        <w:t xml:space="preserve"> </w:t>
      </w:r>
      <w:r w:rsidR="006C04BF">
        <w:rPr>
          <w:bCs/>
        </w:rPr>
        <w:t>июня</w:t>
      </w:r>
      <w:r w:rsidR="00A76220">
        <w:rPr>
          <w:bCs/>
        </w:rPr>
        <w:t xml:space="preserve">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r w:rsidRPr="005429F3">
        <w:t>Одновременно с размещением извещения о проведении электронного аукциона</w:t>
      </w:r>
      <w:r w:rsidRPr="005429F3">
        <w:rPr>
          <w:color w:val="000000"/>
        </w:rPr>
        <w:t xml:space="preserve"> и до «</w:t>
      </w:r>
      <w:r w:rsidR="0093700B">
        <w:rPr>
          <w:color w:val="000000"/>
        </w:rPr>
        <w:t>21</w:t>
      </w:r>
      <w:r w:rsidRPr="005429F3">
        <w:rPr>
          <w:color w:val="000000"/>
        </w:rPr>
        <w:t xml:space="preserve">» </w:t>
      </w:r>
      <w:r w:rsidR="008D21D4" w:rsidRPr="005429F3">
        <w:rPr>
          <w:color w:val="000000"/>
          <w:u w:val="single"/>
        </w:rPr>
        <w:t xml:space="preserve">  </w:t>
      </w:r>
      <w:r w:rsidR="006C04BF">
        <w:rPr>
          <w:color w:val="000000"/>
          <w:u w:val="single"/>
        </w:rPr>
        <w:t xml:space="preserve"> </w:t>
      </w:r>
      <w:r w:rsidR="0093700B">
        <w:rPr>
          <w:color w:val="000000"/>
          <w:u w:val="single"/>
        </w:rPr>
        <w:t>мая</w:t>
      </w:r>
      <w:r w:rsidR="006C04BF">
        <w:rPr>
          <w:color w:val="000000"/>
          <w:u w:val="single"/>
        </w:rPr>
        <w:t xml:space="preserve">  </w:t>
      </w:r>
      <w:r w:rsidR="00425F62">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на сайте Заказчика ОАО «НПО НИИИП-НЗиК»</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6C04BF">
        <w:rPr>
          <w:rFonts w:ascii="Times New Roman" w:hAnsi="Times New Roman"/>
          <w:color w:val="000000"/>
          <w:sz w:val="24"/>
          <w:szCs w:val="24"/>
        </w:rPr>
        <w:t>416 694</w:t>
      </w:r>
      <w:r w:rsidR="00EA63E8" w:rsidRPr="00EA63E8">
        <w:rPr>
          <w:rFonts w:ascii="Times New Roman" w:hAnsi="Times New Roman"/>
          <w:sz w:val="24"/>
          <w:szCs w:val="24"/>
        </w:rPr>
        <w:t xml:space="preserve"> (</w:t>
      </w:r>
      <w:r w:rsidR="006C04BF">
        <w:rPr>
          <w:rFonts w:ascii="Times New Roman" w:hAnsi="Times New Roman"/>
          <w:sz w:val="24"/>
          <w:szCs w:val="24"/>
        </w:rPr>
        <w:t>Четыреста шестнадцать тысяч шестьсот девяносто четыре</w:t>
      </w:r>
      <w:r w:rsidR="00EA63E8" w:rsidRPr="00EA63E8">
        <w:rPr>
          <w:rFonts w:ascii="Times New Roman" w:hAnsi="Times New Roman"/>
          <w:sz w:val="24"/>
          <w:szCs w:val="24"/>
        </w:rPr>
        <w:t>) рубл</w:t>
      </w:r>
      <w:r w:rsidR="006C04BF">
        <w:rPr>
          <w:rFonts w:ascii="Times New Roman" w:hAnsi="Times New Roman"/>
          <w:sz w:val="24"/>
          <w:szCs w:val="24"/>
        </w:rPr>
        <w:t>я</w:t>
      </w:r>
      <w:r w:rsidR="00EA63E8" w:rsidRPr="00EA63E8">
        <w:rPr>
          <w:rFonts w:ascii="Times New Roman" w:hAnsi="Times New Roman"/>
          <w:sz w:val="24"/>
          <w:szCs w:val="24"/>
        </w:rPr>
        <w:t xml:space="preserve"> </w:t>
      </w:r>
      <w:r w:rsidR="004479AB">
        <w:rPr>
          <w:rFonts w:ascii="Times New Roman" w:hAnsi="Times New Roman"/>
          <w:sz w:val="24"/>
          <w:szCs w:val="24"/>
        </w:rPr>
        <w:t>9</w:t>
      </w:r>
      <w:r w:rsidR="006C04BF">
        <w:rPr>
          <w:rFonts w:ascii="Times New Roman" w:hAnsi="Times New Roman"/>
          <w:sz w:val="24"/>
          <w:szCs w:val="24"/>
        </w:rPr>
        <w:t>2</w:t>
      </w:r>
      <w:r w:rsidR="00EA63E8">
        <w:rPr>
          <w:rFonts w:ascii="Times New Roman" w:hAnsi="Times New Roman"/>
          <w:sz w:val="24"/>
          <w:szCs w:val="24"/>
        </w:rPr>
        <w:t xml:space="preserve"> </w:t>
      </w:r>
      <w:r w:rsidR="00EA63E8" w:rsidRPr="00EA63E8">
        <w:rPr>
          <w:rFonts w:ascii="Times New Roman" w:hAnsi="Times New Roman"/>
          <w:sz w:val="24"/>
          <w:szCs w:val="24"/>
        </w:rPr>
        <w:t xml:space="preserve">коп., кроме того НДС (18%) </w:t>
      </w:r>
      <w:r w:rsidR="006C04BF">
        <w:rPr>
          <w:rFonts w:ascii="Times New Roman" w:hAnsi="Times New Roman"/>
          <w:sz w:val="24"/>
          <w:szCs w:val="24"/>
        </w:rPr>
        <w:t>75 005,08</w:t>
      </w:r>
      <w:r w:rsidR="00EA63E8" w:rsidRPr="00EA63E8">
        <w:rPr>
          <w:rFonts w:ascii="Times New Roman" w:hAnsi="Times New Roman"/>
          <w:sz w:val="24"/>
          <w:szCs w:val="24"/>
        </w:rPr>
        <w:t xml:space="preserve">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6C04BF">
        <w:t>49 170,00</w:t>
      </w:r>
      <w:r w:rsidR="004479AB">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93700B">
        <w:t>19</w:t>
      </w:r>
      <w:r w:rsidRPr="005429F3">
        <w:t>»</w:t>
      </w:r>
      <w:r w:rsidR="008D21D4" w:rsidRPr="005429F3">
        <w:t xml:space="preserve"> </w:t>
      </w:r>
      <w:r w:rsidR="008D21D4" w:rsidRPr="005429F3">
        <w:rPr>
          <w:u w:val="single"/>
        </w:rPr>
        <w:t xml:space="preserve"> </w:t>
      </w:r>
      <w:r w:rsidR="006C04BF">
        <w:rPr>
          <w:u w:val="single"/>
        </w:rPr>
        <w:t xml:space="preserve">  </w:t>
      </w:r>
      <w:r w:rsidR="0093700B">
        <w:rPr>
          <w:u w:val="single"/>
        </w:rPr>
        <w:t>мая</w:t>
      </w:r>
      <w:r w:rsidR="00A76220">
        <w:rPr>
          <w:u w:val="single"/>
        </w:rPr>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93700B">
        <w:t>21</w:t>
      </w:r>
      <w:r w:rsidRPr="005429F3">
        <w:t>»</w:t>
      </w:r>
      <w:r w:rsidR="00ED540E" w:rsidRPr="005429F3">
        <w:rPr>
          <w:u w:val="single"/>
        </w:rPr>
        <w:t xml:space="preserve"> </w:t>
      </w:r>
      <w:r w:rsidR="00A76220">
        <w:rPr>
          <w:u w:val="single"/>
        </w:rPr>
        <w:t xml:space="preserve">   </w:t>
      </w:r>
      <w:r w:rsidR="0093700B">
        <w:rPr>
          <w:u w:val="single"/>
        </w:rPr>
        <w:t>мая</w:t>
      </w:r>
      <w:r w:rsidR="006C04BF">
        <w:rPr>
          <w:u w:val="single"/>
        </w:rPr>
        <w:t xml:space="preserve"> </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г. Новосибирск, ул. Планетная,32.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93700B">
        <w:t>21</w:t>
      </w:r>
      <w:r w:rsidRPr="005429F3">
        <w:t>»</w:t>
      </w:r>
      <w:r w:rsidR="008D21D4" w:rsidRPr="005429F3">
        <w:t xml:space="preserve"> </w:t>
      </w:r>
      <w:r w:rsidR="008D21D4" w:rsidRPr="005429F3">
        <w:rPr>
          <w:u w:val="single"/>
        </w:rPr>
        <w:t xml:space="preserve">   </w:t>
      </w:r>
      <w:r w:rsidR="0093700B">
        <w:rPr>
          <w:u w:val="single"/>
        </w:rPr>
        <w:t xml:space="preserve">мая </w:t>
      </w:r>
      <w:r w:rsidR="006C04BF">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2B5B"/>
    <w:rsid w:val="00286A05"/>
    <w:rsid w:val="002A75BD"/>
    <w:rsid w:val="0031207E"/>
    <w:rsid w:val="003502AA"/>
    <w:rsid w:val="00367D19"/>
    <w:rsid w:val="003A4294"/>
    <w:rsid w:val="003C1EA7"/>
    <w:rsid w:val="003D6F11"/>
    <w:rsid w:val="003E1FBE"/>
    <w:rsid w:val="003E2D11"/>
    <w:rsid w:val="0042196F"/>
    <w:rsid w:val="00425F62"/>
    <w:rsid w:val="004333A5"/>
    <w:rsid w:val="004479AB"/>
    <w:rsid w:val="00456280"/>
    <w:rsid w:val="00456638"/>
    <w:rsid w:val="004676E1"/>
    <w:rsid w:val="00472453"/>
    <w:rsid w:val="00485843"/>
    <w:rsid w:val="004C5D7D"/>
    <w:rsid w:val="005313CA"/>
    <w:rsid w:val="00531FB9"/>
    <w:rsid w:val="00541FF4"/>
    <w:rsid w:val="005429F3"/>
    <w:rsid w:val="00553216"/>
    <w:rsid w:val="00557DBF"/>
    <w:rsid w:val="00575F4C"/>
    <w:rsid w:val="005B3287"/>
    <w:rsid w:val="005C0E3F"/>
    <w:rsid w:val="005E31DE"/>
    <w:rsid w:val="00667E4B"/>
    <w:rsid w:val="006B6567"/>
    <w:rsid w:val="006C04BF"/>
    <w:rsid w:val="006C28A9"/>
    <w:rsid w:val="006D33C4"/>
    <w:rsid w:val="006E542E"/>
    <w:rsid w:val="00724921"/>
    <w:rsid w:val="0072521C"/>
    <w:rsid w:val="00726555"/>
    <w:rsid w:val="0074073B"/>
    <w:rsid w:val="00782C74"/>
    <w:rsid w:val="00795AC4"/>
    <w:rsid w:val="007B19E0"/>
    <w:rsid w:val="007B227C"/>
    <w:rsid w:val="007B2D8D"/>
    <w:rsid w:val="0080343E"/>
    <w:rsid w:val="00826D11"/>
    <w:rsid w:val="008834F1"/>
    <w:rsid w:val="008C37E2"/>
    <w:rsid w:val="008D21D4"/>
    <w:rsid w:val="009032AF"/>
    <w:rsid w:val="00917F4C"/>
    <w:rsid w:val="0093700B"/>
    <w:rsid w:val="00964827"/>
    <w:rsid w:val="009759E1"/>
    <w:rsid w:val="0097667B"/>
    <w:rsid w:val="009A56FF"/>
    <w:rsid w:val="009D7F32"/>
    <w:rsid w:val="009E247C"/>
    <w:rsid w:val="009F5304"/>
    <w:rsid w:val="00A76220"/>
    <w:rsid w:val="00A76335"/>
    <w:rsid w:val="00AF0130"/>
    <w:rsid w:val="00AF3082"/>
    <w:rsid w:val="00B27A03"/>
    <w:rsid w:val="00B46D10"/>
    <w:rsid w:val="00B549E9"/>
    <w:rsid w:val="00B96F14"/>
    <w:rsid w:val="00BA4780"/>
    <w:rsid w:val="00BB3491"/>
    <w:rsid w:val="00BB4602"/>
    <w:rsid w:val="00BC4AE8"/>
    <w:rsid w:val="00C04681"/>
    <w:rsid w:val="00C07935"/>
    <w:rsid w:val="00C84F5F"/>
    <w:rsid w:val="00C86C92"/>
    <w:rsid w:val="00C9435E"/>
    <w:rsid w:val="00CA15CA"/>
    <w:rsid w:val="00D53251"/>
    <w:rsid w:val="00D74550"/>
    <w:rsid w:val="00DA0CB9"/>
    <w:rsid w:val="00DC4AF7"/>
    <w:rsid w:val="00DE684D"/>
    <w:rsid w:val="00E012F7"/>
    <w:rsid w:val="00E20314"/>
    <w:rsid w:val="00E902E9"/>
    <w:rsid w:val="00E91311"/>
    <w:rsid w:val="00EA63E8"/>
    <w:rsid w:val="00EB5E90"/>
    <w:rsid w:val="00EB65A2"/>
    <w:rsid w:val="00EC32B7"/>
    <w:rsid w:val="00ED5163"/>
    <w:rsid w:val="00ED540E"/>
    <w:rsid w:val="00EF1728"/>
    <w:rsid w:val="00F00664"/>
    <w:rsid w:val="00F217CB"/>
    <w:rsid w:val="00F56DA7"/>
    <w:rsid w:val="00F62858"/>
    <w:rsid w:val="00F65C20"/>
    <w:rsid w:val="00F676F4"/>
    <w:rsid w:val="00F83616"/>
    <w:rsid w:val="00F83918"/>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65</cp:revision>
  <cp:lastPrinted>2014-02-19T08:36:00Z</cp:lastPrinted>
  <dcterms:created xsi:type="dcterms:W3CDTF">2013-01-31T03:08:00Z</dcterms:created>
  <dcterms:modified xsi:type="dcterms:W3CDTF">2014-04-25T07:07:00Z</dcterms:modified>
</cp:coreProperties>
</file>