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2799E" w:rsidRDefault="0089674A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</w:t>
            </w:r>
            <w:r w:rsidR="0082799E">
              <w:rPr>
                <w:rFonts w:ascii="Times New Roman" w:hAnsi="Times New Roman"/>
              </w:rPr>
              <w:t>ам оформления конкурсной заявки:</w:t>
            </w:r>
          </w:p>
          <w:p w:rsidR="0089674A" w:rsidRPr="006B4A26" w:rsidRDefault="0082799E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Меркулова Наталья Владимировна</w:t>
            </w:r>
            <w:r w:rsidR="0089674A" w:rsidRPr="006B4A26">
              <w:rPr>
                <w:rFonts w:ascii="Times New Roman" w:hAnsi="Times New Roman"/>
              </w:rPr>
              <w:t xml:space="preserve"> тел. </w:t>
            </w:r>
            <w:r w:rsidR="00A23D40" w:rsidRPr="006B4A26">
              <w:rPr>
                <w:rFonts w:ascii="Times New Roman" w:hAnsi="Times New Roman"/>
              </w:rPr>
              <w:t>(38</w:t>
            </w:r>
            <w:r w:rsidR="006B4A26" w:rsidRPr="006B4A26">
              <w:rPr>
                <w:rFonts w:ascii="Times New Roman" w:hAnsi="Times New Roman"/>
              </w:rPr>
              <w:t>3</w:t>
            </w:r>
            <w:r w:rsidR="00A23D40" w:rsidRPr="006B4A26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278-99-97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799E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A77C85">
        <w:rPr>
          <w:rFonts w:ascii="Times New Roman" w:eastAsiaTheme="minorHAnsi" w:hAnsi="Times New Roman" w:cstheme="minorBidi"/>
          <w:sz w:val="24"/>
          <w:szCs w:val="24"/>
        </w:rPr>
        <w:t xml:space="preserve">Замена окон и установка </w:t>
      </w:r>
      <w:proofErr w:type="spellStart"/>
      <w:r w:rsidR="00A77C85">
        <w:rPr>
          <w:rFonts w:ascii="Times New Roman" w:eastAsiaTheme="minorHAnsi" w:hAnsi="Times New Roman" w:cstheme="minorBidi"/>
          <w:sz w:val="24"/>
          <w:szCs w:val="24"/>
        </w:rPr>
        <w:t>ролл</w:t>
      </w:r>
      <w:r w:rsidR="004D7D8D">
        <w:rPr>
          <w:rFonts w:ascii="Times New Roman" w:eastAsiaTheme="minorHAnsi" w:hAnsi="Times New Roman" w:cstheme="minorBidi"/>
          <w:sz w:val="24"/>
          <w:szCs w:val="24"/>
        </w:rPr>
        <w:t>етных</w:t>
      </w:r>
      <w:proofErr w:type="spellEnd"/>
      <w:r w:rsidR="004D7D8D">
        <w:rPr>
          <w:rFonts w:ascii="Times New Roman" w:eastAsiaTheme="minorHAnsi" w:hAnsi="Times New Roman" w:cstheme="minorBidi"/>
          <w:sz w:val="24"/>
          <w:szCs w:val="24"/>
        </w:rPr>
        <w:t xml:space="preserve"> систем в корпусах Общества</w:t>
      </w:r>
      <w:bookmarkStart w:id="0" w:name="_GoBack"/>
      <w:bookmarkEnd w:id="0"/>
      <w:r w:rsidR="00A77C85">
        <w:rPr>
          <w:rFonts w:ascii="Times New Roman" w:eastAsiaTheme="minorHAnsi" w:hAnsi="Times New Roman" w:cstheme="minorBidi"/>
          <w:sz w:val="24"/>
          <w:szCs w:val="24"/>
        </w:rPr>
        <w:t>,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A77C85">
        <w:rPr>
          <w:rFonts w:ascii="Times New Roman" w:hAnsi="Times New Roman"/>
        </w:rPr>
        <w:t>28</w:t>
      </w:r>
      <w:r w:rsidR="008D2657">
        <w:rPr>
          <w:rFonts w:ascii="Times New Roman" w:hAnsi="Times New Roman"/>
        </w:rPr>
        <w:t xml:space="preserve">» </w:t>
      </w:r>
      <w:r w:rsidR="00A77C85">
        <w:rPr>
          <w:rFonts w:ascii="Times New Roman" w:hAnsi="Times New Roman"/>
        </w:rPr>
        <w:t>февраля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77C85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6B3C95">
        <w:rPr>
          <w:rFonts w:ascii="Times New Roman" w:hAnsi="Times New Roman"/>
          <w:color w:val="000000"/>
        </w:rPr>
        <w:t>27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6B3C95">
        <w:rPr>
          <w:rFonts w:ascii="Times New Roman" w:hAnsi="Times New Roman"/>
          <w:color w:val="000000"/>
        </w:rPr>
        <w:t>октября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A77C85">
        <w:rPr>
          <w:rFonts w:ascii="Times New Roman" w:hAnsi="Times New Roman"/>
          <w:b/>
          <w:sz w:val="24"/>
          <w:szCs w:val="24"/>
        </w:rPr>
        <w:t>1 159 336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1411DC">
        <w:rPr>
          <w:rFonts w:ascii="Times New Roman" w:hAnsi="Times New Roman"/>
          <w:b/>
          <w:sz w:val="24"/>
          <w:szCs w:val="24"/>
        </w:rPr>
        <w:t xml:space="preserve">один </w:t>
      </w:r>
      <w:r w:rsidR="00A77C85">
        <w:rPr>
          <w:rFonts w:ascii="Times New Roman" w:hAnsi="Times New Roman"/>
          <w:b/>
          <w:sz w:val="24"/>
          <w:szCs w:val="24"/>
        </w:rPr>
        <w:t>миллион сто пятьдесят девять тысяч триста тридцать шесть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1411DC">
        <w:rPr>
          <w:rFonts w:ascii="Times New Roman" w:hAnsi="Times New Roman"/>
          <w:b/>
          <w:sz w:val="24"/>
          <w:szCs w:val="24"/>
        </w:rPr>
        <w:t>8</w:t>
      </w:r>
      <w:r w:rsidR="00064185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411DC" w:rsidRPr="001411DC">
        <w:rPr>
          <w:rFonts w:ascii="Times New Roman" w:hAnsi="Times New Roman"/>
          <w:sz w:val="24"/>
          <w:szCs w:val="24"/>
        </w:rPr>
        <w:t>не</w:t>
      </w:r>
      <w:r w:rsidR="001411DC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B3C95">
        <w:rPr>
          <w:rFonts w:ascii="Times New Roman" w:hAnsi="Times New Roman"/>
          <w:color w:val="000000"/>
          <w:sz w:val="24"/>
          <w:szCs w:val="24"/>
        </w:rPr>
        <w:t>27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C95">
        <w:rPr>
          <w:rFonts w:ascii="Times New Roman" w:hAnsi="Times New Roman"/>
          <w:color w:val="000000"/>
          <w:sz w:val="24"/>
          <w:szCs w:val="24"/>
        </w:rPr>
        <w:t>октября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6B3C9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B3C95">
        <w:rPr>
          <w:rFonts w:ascii="Times New Roman" w:hAnsi="Times New Roman"/>
          <w:color w:val="000000"/>
          <w:sz w:val="24"/>
          <w:szCs w:val="24"/>
        </w:rPr>
        <w:t>02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B3C95">
        <w:rPr>
          <w:rFonts w:ascii="Times New Roman" w:hAnsi="Times New Roman"/>
          <w:color w:val="000000"/>
          <w:sz w:val="24"/>
          <w:szCs w:val="24"/>
        </w:rPr>
        <w:t>ноября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</w:t>
      </w:r>
      <w:r w:rsidR="006B3C95">
        <w:rPr>
          <w:rFonts w:ascii="Times New Roman" w:hAnsi="Times New Roman"/>
          <w:sz w:val="24"/>
          <w:szCs w:val="24"/>
        </w:rPr>
        <w:t xml:space="preserve">, 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B3C95">
        <w:rPr>
          <w:rFonts w:ascii="Times New Roman" w:hAnsi="Times New Roman"/>
          <w:color w:val="000000"/>
          <w:sz w:val="24"/>
          <w:szCs w:val="24"/>
        </w:rPr>
        <w:t>11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6B3C95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B3C95">
        <w:rPr>
          <w:rFonts w:ascii="Times New Roman" w:hAnsi="Times New Roman"/>
          <w:color w:val="000000"/>
          <w:sz w:val="24"/>
          <w:szCs w:val="24"/>
        </w:rPr>
        <w:t>12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6B3C95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B772E5">
        <w:rPr>
          <w:rFonts w:ascii="Times New Roman" w:hAnsi="Times New Roman"/>
          <w:sz w:val="24"/>
          <w:szCs w:val="24"/>
        </w:rPr>
        <w:t>17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63F6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1DC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D7D8D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84F91"/>
    <w:rsid w:val="0069154C"/>
    <w:rsid w:val="00693BE7"/>
    <w:rsid w:val="006A034F"/>
    <w:rsid w:val="006A07DD"/>
    <w:rsid w:val="006A37C9"/>
    <w:rsid w:val="006A434B"/>
    <w:rsid w:val="006A51D0"/>
    <w:rsid w:val="006B3C95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2799E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74455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77C85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772E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228D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76019-072E-478B-BBE5-5ACB0AE7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6</cp:revision>
  <cp:lastPrinted>2021-07-23T07:28:00Z</cp:lastPrinted>
  <dcterms:created xsi:type="dcterms:W3CDTF">2021-10-13T02:32:00Z</dcterms:created>
  <dcterms:modified xsi:type="dcterms:W3CDTF">2021-10-19T07:16:00Z</dcterms:modified>
</cp:coreProperties>
</file>