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F1A1D">
        <w:rPr>
          <w:sz w:val="24"/>
          <w:szCs w:val="24"/>
          <w:lang w:val="ru-RU"/>
        </w:rPr>
        <w:t>ДОКУМЕНТАЦИИ</w:t>
      </w:r>
      <w:r w:rsidR="00DA08F7">
        <w:rPr>
          <w:sz w:val="24"/>
          <w:szCs w:val="24"/>
          <w:lang w:val="ru-RU"/>
        </w:rPr>
        <w:t xml:space="preserve"> О ПРОВЕДЕН</w:t>
      </w:r>
      <w:proofErr w:type="gramStart"/>
      <w:r w:rsidR="00DA08F7">
        <w:rPr>
          <w:sz w:val="24"/>
          <w:szCs w:val="24"/>
          <w:lang w:val="ru-RU"/>
        </w:rPr>
        <w:t>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E54664">
        <w:rPr>
          <w:sz w:val="24"/>
          <w:szCs w:val="24"/>
          <w:lang w:val="ru-RU"/>
        </w:rPr>
        <w:t>АУ</w:t>
      </w:r>
      <w:proofErr w:type="gramEnd"/>
      <w:r w:rsidR="00E54664">
        <w:rPr>
          <w:sz w:val="24"/>
          <w:szCs w:val="24"/>
          <w:lang w:val="ru-RU"/>
        </w:rPr>
        <w:t>КЦИОНА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370D44">
        <w:t>25</w:t>
      </w:r>
      <w:r>
        <w:t xml:space="preserve">» </w:t>
      </w:r>
      <w:r w:rsidR="00370D44">
        <w:t>декабря</w:t>
      </w:r>
      <w:r w:rsidR="00243645">
        <w:t xml:space="preserve"> </w:t>
      </w:r>
      <w:r w:rsidRPr="00E9306C">
        <w:t>201</w:t>
      </w:r>
      <w:r w:rsidR="00F517CE">
        <w:t>9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54664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54664" w:rsidRDefault="00CC1631" w:rsidP="001F1A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4664">
              <w:rPr>
                <w:sz w:val="22"/>
                <w:szCs w:val="22"/>
              </w:rPr>
              <w:t>Содержание за</w:t>
            </w:r>
            <w:r w:rsidR="00DA08F7" w:rsidRPr="00E54664">
              <w:rPr>
                <w:sz w:val="22"/>
                <w:szCs w:val="22"/>
              </w:rPr>
              <w:t xml:space="preserve">проса на разъяснение положений </w:t>
            </w:r>
            <w:r w:rsidR="001F1A1D" w:rsidRPr="00E54664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54664" w:rsidRDefault="00F517CE" w:rsidP="001F1A1D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E54664">
              <w:rPr>
                <w:sz w:val="22"/>
                <w:szCs w:val="22"/>
              </w:rPr>
              <w:t xml:space="preserve">Разъяснение положений </w:t>
            </w:r>
            <w:r w:rsidR="001F1A1D" w:rsidRPr="00E54664">
              <w:rPr>
                <w:sz w:val="22"/>
                <w:szCs w:val="22"/>
              </w:rPr>
              <w:t>документации</w:t>
            </w:r>
          </w:p>
        </w:tc>
      </w:tr>
      <w:tr w:rsidR="00CC1631" w:rsidRPr="00E54664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0D44" w:rsidRPr="00370D44" w:rsidRDefault="00370D44" w:rsidP="00370D4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0D4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1. Что понимается под фразой "Приспособление для профильной правки шлифовального круга"? Поясните подробнее функционал данного приспособления и как будет осуществлять профилирование круга на станке с ручным управлением? Опишите работу приспособления и посредством чего будет выполняться перемещение правящего инструмента. Так же просим </w:t>
            </w:r>
            <w:proofErr w:type="gramStart"/>
            <w:r w:rsidRPr="00370D4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пояснить</w:t>
            </w:r>
            <w:proofErr w:type="gramEnd"/>
            <w:r w:rsidRPr="00370D4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куда именно должно быть установлено (на каком узле станка крепится) данное приспособление? Прошу принять во внимание тот факт, что на шлифовальной бабке уже будет установлено приспособление для внутреннего шлифования (п.18 </w:t>
            </w:r>
            <w:proofErr w:type="spellStart"/>
            <w:r w:rsidRPr="00370D4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техзадания</w:t>
            </w:r>
            <w:proofErr w:type="spellEnd"/>
            <w:r w:rsidRPr="00370D4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) и крепление устройства для "профильной правки" там невозможно.</w:t>
            </w:r>
            <w:r w:rsidRPr="00370D44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370D4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2. Устройство для внутреннего шлифования включает в себя шпиндель с определенными постоянными оборотами. Укажите количество и обороты каждого шпинделя (или шпинделей) поставляемых для данного устройства. Так же </w:t>
            </w:r>
            <w:proofErr w:type="gramStart"/>
            <w:r w:rsidRPr="00370D4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укажите</w:t>
            </w:r>
            <w:proofErr w:type="gramEnd"/>
            <w:r w:rsidRPr="00370D4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что означают цифры: 9-13; 12-16; 15-25; 24-40; 35-70; 40-80. Если это диаметры, то чего? Приложите чертеж, чтобы было понятно.</w:t>
            </w:r>
          </w:p>
          <w:p w:rsidR="000F678A" w:rsidRPr="00E54664" w:rsidRDefault="000F678A" w:rsidP="00884985">
            <w:pPr>
              <w:pStyle w:val="a5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B6" w:rsidRPr="00E54664" w:rsidRDefault="00370D44" w:rsidP="00370D4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E54664">
              <w:rPr>
                <w:sz w:val="22"/>
                <w:szCs w:val="22"/>
              </w:rPr>
              <w:t xml:space="preserve">1. </w:t>
            </w:r>
            <w:r w:rsidRPr="00E54664">
              <w:rPr>
                <w:sz w:val="22"/>
                <w:szCs w:val="22"/>
              </w:rPr>
              <w:t xml:space="preserve">Функционал </w:t>
            </w:r>
            <w:proofErr w:type="gramStart"/>
            <w:r w:rsidRPr="00E54664">
              <w:rPr>
                <w:sz w:val="22"/>
                <w:szCs w:val="22"/>
              </w:rPr>
              <w:t>приспособления-это</w:t>
            </w:r>
            <w:proofErr w:type="gramEnd"/>
            <w:r w:rsidRPr="00E54664">
              <w:rPr>
                <w:sz w:val="22"/>
                <w:szCs w:val="22"/>
              </w:rPr>
              <w:t xml:space="preserve"> формирование вогнутого и </w:t>
            </w:r>
            <w:proofErr w:type="spellStart"/>
            <w:r w:rsidRPr="00E54664">
              <w:rPr>
                <w:sz w:val="22"/>
                <w:szCs w:val="22"/>
              </w:rPr>
              <w:t>фасочного</w:t>
            </w:r>
            <w:proofErr w:type="spellEnd"/>
            <w:r w:rsidRPr="00E54664">
              <w:rPr>
                <w:sz w:val="22"/>
                <w:szCs w:val="22"/>
              </w:rPr>
              <w:t xml:space="preserve"> профиля периферии круга. </w:t>
            </w:r>
            <w:r w:rsidRPr="00E54664">
              <w:rPr>
                <w:sz w:val="22"/>
                <w:szCs w:val="22"/>
              </w:rPr>
              <w:t>П</w:t>
            </w:r>
            <w:r w:rsidRPr="00E54664">
              <w:rPr>
                <w:sz w:val="22"/>
                <w:szCs w:val="22"/>
              </w:rPr>
              <w:t xml:space="preserve">рофилирование осуществляется движением штурвала и корпуса приспособления по кинематической схеме приспособления относительно круга. Приспособление устанавливается на направляющие напротив круга. Приспособление съёмное, шлифовальная бабка для внутреннего шлифования находится в состоянии </w:t>
            </w:r>
            <w:proofErr w:type="gramStart"/>
            <w:r w:rsidRPr="00E54664">
              <w:rPr>
                <w:sz w:val="22"/>
                <w:szCs w:val="22"/>
              </w:rPr>
              <w:t>покоя</w:t>
            </w:r>
            <w:proofErr w:type="gramEnd"/>
            <w:r w:rsidRPr="00E54664">
              <w:rPr>
                <w:sz w:val="22"/>
                <w:szCs w:val="22"/>
              </w:rPr>
              <w:t xml:space="preserve"> когда профилируется круг для наружной шлифовки. Когда необходимо профилировать круг для внутренней шлифовки шлифовальная бабка подводится к зоне правки. </w:t>
            </w:r>
            <w:r w:rsidRPr="00E54664">
              <w:rPr>
                <w:sz w:val="22"/>
                <w:szCs w:val="22"/>
              </w:rPr>
              <w:br/>
            </w:r>
            <w:bookmarkStart w:id="0" w:name="_GoBack"/>
            <w:bookmarkEnd w:id="0"/>
            <w:r w:rsidRPr="00E54664">
              <w:rPr>
                <w:sz w:val="22"/>
                <w:szCs w:val="22"/>
              </w:rPr>
              <w:br/>
              <w:t xml:space="preserve">2. Шпиндель поставляется один, с количеством оборотов 20 000-30 000 об/мин, съемными для этого шпинделя будут оправки для </w:t>
            </w:r>
            <w:proofErr w:type="gramStart"/>
            <w:r w:rsidRPr="00E54664">
              <w:rPr>
                <w:sz w:val="22"/>
                <w:szCs w:val="22"/>
              </w:rPr>
              <w:t>шлифования</w:t>
            </w:r>
            <w:proofErr w:type="gramEnd"/>
            <w:r w:rsidRPr="00E54664">
              <w:rPr>
                <w:sz w:val="22"/>
                <w:szCs w:val="22"/>
              </w:rPr>
              <w:t xml:space="preserve"> на которые крепится шлифовальный круг. Числа в ТЗ это диаметры внутреннего шлифования, следовательно</w:t>
            </w:r>
            <w:r w:rsidRPr="00E54664">
              <w:rPr>
                <w:sz w:val="22"/>
                <w:szCs w:val="22"/>
              </w:rPr>
              <w:t>,</w:t>
            </w:r>
            <w:r w:rsidRPr="00E54664">
              <w:rPr>
                <w:sz w:val="22"/>
                <w:szCs w:val="22"/>
              </w:rPr>
              <w:t xml:space="preserve"> оправки должны иметь геометрию, способную осуществлять сквозное шлифование на проход в этих диаметрах, глубиной до 90 мм </w:t>
            </w:r>
          </w:p>
        </w:tc>
      </w:tr>
      <w:tr w:rsidR="00200B86" w:rsidRPr="00E9306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884985" w:rsidRDefault="00884985" w:rsidP="00F517CE">
            <w:pPr>
              <w:pStyle w:val="21"/>
              <w:rPr>
                <w:szCs w:val="24"/>
              </w:rPr>
            </w:pPr>
          </w:p>
          <w:p w:rsidR="00E54664" w:rsidRDefault="00E54664" w:rsidP="00F517CE">
            <w:pPr>
              <w:pStyle w:val="21"/>
              <w:rPr>
                <w:szCs w:val="24"/>
              </w:rPr>
            </w:pPr>
          </w:p>
          <w:p w:rsidR="00E54664" w:rsidRDefault="00E54664" w:rsidP="00F517CE">
            <w:pPr>
              <w:pStyle w:val="21"/>
              <w:rPr>
                <w:szCs w:val="24"/>
              </w:rPr>
            </w:pPr>
          </w:p>
          <w:p w:rsidR="00E54664" w:rsidRDefault="00E54664" w:rsidP="00F517CE">
            <w:pPr>
              <w:pStyle w:val="21"/>
              <w:rPr>
                <w:szCs w:val="24"/>
              </w:rPr>
            </w:pPr>
          </w:p>
          <w:p w:rsidR="00E54664" w:rsidRDefault="00E54664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E54664" w:rsidP="00F517CE">
            <w:pPr>
              <w:pStyle w:val="21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2470C7A" wp14:editId="4AB6619D">
                  <wp:extent cx="2066925" cy="1504950"/>
                  <wp:effectExtent l="0" t="0" r="9525" b="0"/>
                  <wp:docPr id="1" name="Рисунок 1" descr="C:\Users\161008\AppData\Local\Temp\nsqB2B2.tmp\ContainedTemp\профильная правка круг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61008\AppData\Local\Temp\nsqB2B2.tmp\ContainedTemp\профильная правка круга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1A1D"/>
    <w:rsid w:val="001F67CD"/>
    <w:rsid w:val="00200B86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70D44"/>
    <w:rsid w:val="00391886"/>
    <w:rsid w:val="003E648A"/>
    <w:rsid w:val="003E6AD9"/>
    <w:rsid w:val="00422F92"/>
    <w:rsid w:val="00424E41"/>
    <w:rsid w:val="004938CC"/>
    <w:rsid w:val="004F3799"/>
    <w:rsid w:val="00514355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884985"/>
    <w:rsid w:val="00925750"/>
    <w:rsid w:val="009532AC"/>
    <w:rsid w:val="00976603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B73DE"/>
    <w:rsid w:val="00BC3943"/>
    <w:rsid w:val="00BF5E45"/>
    <w:rsid w:val="00C45730"/>
    <w:rsid w:val="00C60C4E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54664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3EFC-F896-4BF1-8BF0-816AA873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3</cp:revision>
  <cp:lastPrinted>2019-12-25T06:32:00Z</cp:lastPrinted>
  <dcterms:created xsi:type="dcterms:W3CDTF">2019-12-25T05:38:00Z</dcterms:created>
  <dcterms:modified xsi:type="dcterms:W3CDTF">2019-12-25T06:33:00Z</dcterms:modified>
</cp:coreProperties>
</file>